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webextensions/taskpanes.xml" ContentType="application/vnd.ms-office.webextensiontaskpanes+xml"/>
  <Override PartName="/word/webextensions/webextension1.xml" ContentType="application/vnd.ms-office.webextension+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fontTable.xml" ContentType="application/vnd.openxmlformats-officedocument.wordprocessingml.fontTable+xml"/>
  <Override PartName="/word/intelligence2.xml" ContentType="application/vnd.ms-office.intelligence2+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11FA0A" w14:textId="77777777" w:rsidR="00EF62FC" w:rsidRDefault="00EF62FC" w:rsidP="2459C0FB">
      <w:pPr>
        <w:jc w:val="both"/>
        <w:rPr>
          <w:rFonts w:ascii="Segoe UI" w:hAnsi="Segoe UI" w:cs="Segoe UI"/>
          <w:b/>
          <w:bCs/>
          <w:color w:val="242424"/>
        </w:rPr>
      </w:pPr>
      <w:r>
        <w:rPr>
          <w:rFonts w:ascii="Segoe UI" w:hAnsi="Segoe UI" w:cs="Segoe UI"/>
          <w:b/>
          <w:bCs/>
          <w:color w:val="242424"/>
        </w:rPr>
        <w:t>APORTES DE LA SUBDIRECCIÓN DE ACCIONES COLECTIVAS PARA RESPUESTA A LA PETICIÓN 2026ER32105 // PETICIÓN // CONCEJAL ANDRÉS BARRIOS BERNAL // TEMA: PROSTITUCIÓN</w:t>
      </w:r>
    </w:p>
    <w:p w14:paraId="5C1A07E2" w14:textId="6FB19E47" w:rsidR="00305E42" w:rsidRPr="00E16580" w:rsidRDefault="00B92AFF" w:rsidP="2459C0FB">
      <w:pPr>
        <w:jc w:val="both"/>
        <w:rPr>
          <w:b/>
        </w:rPr>
      </w:pPr>
      <w:r>
        <w:rPr>
          <w:rFonts w:ascii="Arial" w:eastAsia="Arial" w:hAnsi="Arial" w:cs="Arial"/>
          <w:b/>
        </w:rPr>
        <w:t xml:space="preserve">Pregunta 5: </w:t>
      </w:r>
      <w:r w:rsidR="588D53ED" w:rsidRPr="00E16580">
        <w:rPr>
          <w:rFonts w:ascii="Arial" w:eastAsia="Arial" w:hAnsi="Arial" w:cs="Arial"/>
          <w:b/>
        </w:rPr>
        <w:t>Informe si la Secretaría adelanta o tiene previstas jornadas de atención extramural en las zonas de tolerancia (tamizajes, vacunación, entrega de insumos de reducción de daños, etc.), con indicación de frecuencia, cobertura estimada y resultados por localidad.</w:t>
      </w:r>
    </w:p>
    <w:p w14:paraId="0B6DA920" w14:textId="63213EFF" w:rsidR="00EF62FC" w:rsidRDefault="00EF62FC">
      <w:pPr>
        <w:spacing w:line="240" w:lineRule="auto"/>
        <w:jc w:val="both"/>
        <w:rPr>
          <w:kern w:val="2"/>
          <w:lang w:val="es-CO" w:eastAsia="es-CO"/>
          <w14:ligatures w14:val="standardContextual"/>
        </w:rPr>
      </w:pPr>
      <w:r>
        <w:rPr>
          <w:sz w:val="22"/>
          <w:szCs w:val="22"/>
        </w:rPr>
        <w:t xml:space="preserve">Respuesta: Sí, la Secretaría Distrital de Salud, en el marco del Modelo Territorial de Salud MAS Bienestar y de la estrategia de Atención Primaria Social (APSocial), a través de las Subredes Integradas de Servicios de Salud, adelanta actividades </w:t>
      </w:r>
      <w:bookmarkStart w:id="0" w:name="_GoBack"/>
      <w:bookmarkEnd w:id="0"/>
      <w:r>
        <w:rPr>
          <w:sz w:val="22"/>
          <w:szCs w:val="22"/>
        </w:rPr>
        <w:t>de atención extramural (tamizajes, vacunación, entrega de insumos de reducción de daños, etc.) para personas que ejercen actividades sexuales pagadas en zonas de alto impacto (antes llamadas zonas de tolerancia). Estas acciones se realizan en el marco de los alcances del Plan de Salud Pública de Intervenciones Colectivas y están orientadas a la promoción de la salud, la prevención de la enfermedad, la gestión integral del riesgo y la protección del bienestar de poblaciones en situación de vulnerabilidad, entre ellas las personas vinculadas a actividades sexuales pagadas (ASP) y ocupaciones asociadas al ejercicio de esta actividad. Dentro de estas acciones se realizan tamizajes, vacunación (en articulación con los equipos del Programa Ampliado de Inmunizaciones) y canalización de casos a los servicios de salud cuando se identifican eventos de interés en salud pública que requieren atención individual.</w:t>
      </w:r>
    </w:p>
    <w:p w14:paraId="4CEC2635" w14:textId="77777777" w:rsidR="00EF62FC" w:rsidRDefault="00EF62FC">
      <w:pPr>
        <w:spacing w:line="240" w:lineRule="auto"/>
        <w:jc w:val="both"/>
        <w:rPr>
          <w:kern w:val="2"/>
          <w:lang w:val="es-CO" w:eastAsia="es-CO"/>
          <w14:ligatures w14:val="standardContextual"/>
        </w:rPr>
      </w:pPr>
      <w:r>
        <w:rPr>
          <w:sz w:val="22"/>
          <w:szCs w:val="22"/>
        </w:rPr>
        <w:t>Estas acciones se implementan desde el entorno laboral, mediante la acción integrada e integral denominada “Cuidado continuo por una vida con bienestar con enfoque poblacional para formas extremas de exclusión”, cuyo propósito es fortalecer capacidades individuales y colectivas para el cuidado integral de la salud, el ejercicio de derechos y la disminución de riesgos asociados a determinantes sociales, sanitarios y psicosociales.</w:t>
      </w:r>
    </w:p>
    <w:p w14:paraId="0010411D" w14:textId="77777777" w:rsidR="00EF62FC" w:rsidRDefault="00EF62FC">
      <w:pPr>
        <w:spacing w:line="240" w:lineRule="auto"/>
        <w:jc w:val="both"/>
        <w:rPr>
          <w:kern w:val="2"/>
          <w:lang w:val="es-CO" w:eastAsia="es-CO"/>
          <w14:ligatures w14:val="standardContextual"/>
        </w:rPr>
      </w:pPr>
      <w:r>
        <w:rPr>
          <w:sz w:val="22"/>
          <w:szCs w:val="22"/>
        </w:rPr>
        <w:t>Para el año 2026, se tiene previsto continuar con el desarrollo de acciones promocionales y preventivas a través de las Subredes Integradas de Servicios de Salud (Norte, Centro Oriente, Sur y Sur Occidente), las cuales incluyen las siguientes:</w:t>
      </w:r>
    </w:p>
    <w:p w14:paraId="408CAC0F" w14:textId="77777777" w:rsidR="00EF62FC" w:rsidRDefault="00EF62FC">
      <w:pPr>
        <w:spacing w:line="240" w:lineRule="auto"/>
        <w:jc w:val="center"/>
        <w:rPr>
          <w:kern w:val="2"/>
          <w:lang w:val="es-CO" w:eastAsia="es-CO"/>
          <w14:ligatures w14:val="standardContextual"/>
        </w:rPr>
      </w:pPr>
      <w:r>
        <w:rPr>
          <w:b/>
          <w:bCs/>
          <w:sz w:val="22"/>
          <w:szCs w:val="22"/>
        </w:rPr>
        <w:t>Tabla X. Distribución de acciones integradas de bienestar programadas para ejecutar durante el año 2026 con población que se dedica a actividades sexuales pagadas (ASP)</w:t>
      </w:r>
    </w:p>
    <w:tbl>
      <w:tblPr>
        <w:tblW w:w="9021" w:type="dxa"/>
        <w:tblLook w:val="06A0" w:firstRow="1" w:lastRow="0" w:firstColumn="1" w:lastColumn="0" w:noHBand="1" w:noVBand="1"/>
      </w:tblPr>
      <w:tblGrid>
        <w:gridCol w:w="2178"/>
        <w:gridCol w:w="2501"/>
        <w:gridCol w:w="2198"/>
        <w:gridCol w:w="2144"/>
      </w:tblGrid>
      <w:tr w:rsidR="00100F9F" w14:paraId="6A0CAA6F" w14:textId="3BB1F7E0" w:rsidTr="00100F9F">
        <w:trPr>
          <w:trHeight w:val="659"/>
        </w:trPr>
        <w:tc>
          <w:tcPr>
            <w:tcW w:w="21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75B5"/>
            <w:tcMar>
              <w:top w:w="15" w:type="dxa"/>
              <w:left w:w="15" w:type="dxa"/>
              <w:right w:w="15" w:type="dxa"/>
            </w:tcMar>
            <w:vAlign w:val="center"/>
          </w:tcPr>
          <w:p w14:paraId="4CF80C6B" w14:textId="6301429B" w:rsidR="00100F9F" w:rsidRDefault="00100F9F" w:rsidP="00100F9F">
            <w:pPr>
              <w:spacing w:after="0"/>
              <w:jc w:val="center"/>
              <w:rPr>
                <w:rFonts w:ascii="Calibri" w:eastAsia="Calibri" w:hAnsi="Calibri" w:cs="Calibri"/>
                <w:b/>
                <w:bCs/>
                <w:color w:val="FFFFFF" w:themeColor="background1"/>
                <w:sz w:val="19"/>
                <w:szCs w:val="19"/>
              </w:rPr>
            </w:pPr>
            <w:r>
              <w:rPr>
                <w:rFonts w:ascii="Calibri" w:eastAsia="Calibri" w:hAnsi="Calibri" w:cs="Calibri"/>
                <w:b/>
                <w:bCs/>
                <w:color w:val="FFFFFF" w:themeColor="background1"/>
                <w:sz w:val="19"/>
                <w:szCs w:val="19"/>
              </w:rPr>
              <w:t>LINEA</w:t>
            </w:r>
          </w:p>
          <w:p w14:paraId="0EA91783" w14:textId="3B32AA16" w:rsidR="00100F9F" w:rsidRDefault="00100F9F" w:rsidP="00100F9F">
            <w:pPr>
              <w:spacing w:after="0"/>
              <w:jc w:val="center"/>
            </w:pPr>
            <w:r>
              <w:rPr>
                <w:rFonts w:ascii="Calibri" w:eastAsia="Calibri" w:hAnsi="Calibri" w:cs="Calibri"/>
                <w:b/>
                <w:bCs/>
                <w:color w:val="FFFFFF" w:themeColor="background1"/>
                <w:sz w:val="19"/>
                <w:szCs w:val="19"/>
              </w:rPr>
              <w:t xml:space="preserve"> OPERATIVA DE BIENESTAR</w:t>
            </w:r>
          </w:p>
        </w:tc>
        <w:tc>
          <w:tcPr>
            <w:tcW w:w="25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75B5"/>
            <w:tcMar>
              <w:top w:w="15" w:type="dxa"/>
              <w:left w:w="15" w:type="dxa"/>
              <w:right w:w="15" w:type="dxa"/>
            </w:tcMar>
            <w:vAlign w:val="center"/>
          </w:tcPr>
          <w:p w14:paraId="59FC8277" w14:textId="0EFF7A7A" w:rsidR="00100F9F" w:rsidRDefault="00100F9F" w:rsidP="2459C0FB">
            <w:pPr>
              <w:spacing w:after="0"/>
              <w:jc w:val="center"/>
            </w:pPr>
            <w:r w:rsidRPr="2459C0FB">
              <w:rPr>
                <w:rFonts w:ascii="Calibri" w:eastAsia="Calibri" w:hAnsi="Calibri" w:cs="Calibri"/>
                <w:b/>
                <w:bCs/>
                <w:color w:val="FFFFFF" w:themeColor="background1"/>
                <w:sz w:val="19"/>
                <w:szCs w:val="19"/>
              </w:rPr>
              <w:t>ACCIÓN DE BIENESTAR</w:t>
            </w:r>
            <w:r>
              <w:rPr>
                <w:rFonts w:ascii="Calibri" w:eastAsia="Calibri" w:hAnsi="Calibri" w:cs="Calibri"/>
                <w:b/>
                <w:bCs/>
                <w:color w:val="FFFFFF" w:themeColor="background1"/>
                <w:sz w:val="19"/>
                <w:szCs w:val="19"/>
              </w:rPr>
              <w:t xml:space="preserve"> A DESARROLLAR</w:t>
            </w:r>
          </w:p>
        </w:tc>
        <w:tc>
          <w:tcPr>
            <w:tcW w:w="2198" w:type="dxa"/>
            <w:tcBorders>
              <w:top w:val="nil"/>
              <w:left w:val="single" w:sz="4" w:space="0" w:color="FFFFFF" w:themeColor="background1"/>
              <w:bottom w:val="nil"/>
              <w:right w:val="nil"/>
            </w:tcBorders>
            <w:shd w:val="clear" w:color="auto" w:fill="2F75B5"/>
            <w:tcMar>
              <w:top w:w="15" w:type="dxa"/>
              <w:left w:w="15" w:type="dxa"/>
              <w:right w:w="15" w:type="dxa"/>
            </w:tcMar>
            <w:vAlign w:val="center"/>
          </w:tcPr>
          <w:p w14:paraId="1035655B" w14:textId="1B939C6A" w:rsidR="00100F9F" w:rsidRDefault="00100F9F" w:rsidP="00100F9F">
            <w:pPr>
              <w:spacing w:after="0"/>
              <w:jc w:val="center"/>
            </w:pPr>
            <w:r w:rsidRPr="2459C0FB">
              <w:rPr>
                <w:rFonts w:ascii="Calibri" w:eastAsia="Calibri" w:hAnsi="Calibri" w:cs="Calibri"/>
                <w:b/>
                <w:bCs/>
                <w:color w:val="FFFFFF" w:themeColor="background1"/>
                <w:sz w:val="19"/>
                <w:szCs w:val="19"/>
              </w:rPr>
              <w:t xml:space="preserve">Meta </w:t>
            </w:r>
            <w:r>
              <w:rPr>
                <w:rFonts w:ascii="Calibri" w:eastAsia="Calibri" w:hAnsi="Calibri" w:cs="Calibri"/>
                <w:b/>
                <w:bCs/>
                <w:color w:val="FFFFFF" w:themeColor="background1"/>
                <w:sz w:val="19"/>
                <w:szCs w:val="19"/>
              </w:rPr>
              <w:t>Programada a ejecutar por cada Subred</w:t>
            </w:r>
          </w:p>
        </w:tc>
        <w:tc>
          <w:tcPr>
            <w:tcW w:w="2144" w:type="dxa"/>
            <w:tcBorders>
              <w:top w:val="nil"/>
              <w:left w:val="single" w:sz="4" w:space="0" w:color="FFFFFF" w:themeColor="background1"/>
              <w:bottom w:val="nil"/>
              <w:right w:val="nil"/>
            </w:tcBorders>
            <w:shd w:val="clear" w:color="auto" w:fill="2F75B5"/>
          </w:tcPr>
          <w:p w14:paraId="357F14E8" w14:textId="167FA7C1" w:rsidR="00100F9F" w:rsidRPr="2459C0FB" w:rsidRDefault="00100F9F" w:rsidP="00100F9F">
            <w:pPr>
              <w:spacing w:after="0"/>
              <w:jc w:val="center"/>
              <w:rPr>
                <w:rFonts w:ascii="Calibri" w:eastAsia="Calibri" w:hAnsi="Calibri" w:cs="Calibri"/>
                <w:b/>
                <w:bCs/>
                <w:color w:val="FFFFFF" w:themeColor="background1"/>
                <w:sz w:val="19"/>
                <w:szCs w:val="19"/>
              </w:rPr>
            </w:pPr>
            <w:r>
              <w:rPr>
                <w:rFonts w:ascii="Calibri" w:eastAsia="Calibri" w:hAnsi="Calibri" w:cs="Calibri"/>
                <w:b/>
                <w:bCs/>
                <w:color w:val="FFFFFF" w:themeColor="background1"/>
                <w:sz w:val="19"/>
                <w:szCs w:val="19"/>
              </w:rPr>
              <w:t>Total Meta Programada a ejecutar en el Distrito</w:t>
            </w:r>
          </w:p>
        </w:tc>
      </w:tr>
      <w:tr w:rsidR="00100F9F" w14:paraId="6F4D91E1" w14:textId="6751DB86" w:rsidTr="00100F9F">
        <w:trPr>
          <w:trHeight w:val="801"/>
        </w:trPr>
        <w:tc>
          <w:tcPr>
            <w:tcW w:w="2178"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3584DE78" w14:textId="205EDC7E" w:rsidR="00100F9F" w:rsidRDefault="00100F9F" w:rsidP="2459C0FB">
            <w:pPr>
              <w:spacing w:after="0"/>
              <w:jc w:val="center"/>
            </w:pPr>
            <w:r w:rsidRPr="2459C0FB">
              <w:rPr>
                <w:rFonts w:ascii="Calibri" w:eastAsia="Calibri" w:hAnsi="Calibri" w:cs="Calibri"/>
                <w:color w:val="000000" w:themeColor="text1"/>
                <w:sz w:val="20"/>
                <w:szCs w:val="20"/>
              </w:rPr>
              <w:t xml:space="preserve">Promoción de la salud y bienestar </w:t>
            </w:r>
          </w:p>
        </w:tc>
        <w:tc>
          <w:tcPr>
            <w:tcW w:w="2501"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7EAAC5D8" w14:textId="27EAC255" w:rsidR="00100F9F" w:rsidRDefault="00100F9F" w:rsidP="2459C0FB">
            <w:pPr>
              <w:spacing w:after="0"/>
              <w:jc w:val="center"/>
            </w:pPr>
            <w:r w:rsidRPr="2459C0FB">
              <w:rPr>
                <w:rFonts w:ascii="Calibri" w:eastAsia="Calibri" w:hAnsi="Calibri" w:cs="Calibri"/>
                <w:color w:val="000000" w:themeColor="text1"/>
                <w:sz w:val="20"/>
                <w:szCs w:val="20"/>
              </w:rPr>
              <w:t>Sesión educativa para población diferencial - Actividades Sexuales Pagadas (ASP)</w:t>
            </w:r>
          </w:p>
        </w:tc>
        <w:tc>
          <w:tcPr>
            <w:tcW w:w="2198"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5B3258A5" w14:textId="2B44134B" w:rsidR="00100F9F" w:rsidRDefault="00100F9F" w:rsidP="2459C0FB">
            <w:pPr>
              <w:spacing w:after="0"/>
              <w:jc w:val="center"/>
            </w:pPr>
            <w:r>
              <w:rPr>
                <w:rFonts w:ascii="Calibri" w:eastAsia="Calibri" w:hAnsi="Calibri" w:cs="Calibri"/>
                <w:color w:val="000000" w:themeColor="text1"/>
                <w:sz w:val="22"/>
                <w:szCs w:val="22"/>
              </w:rPr>
              <w:t>96</w:t>
            </w:r>
          </w:p>
        </w:tc>
        <w:tc>
          <w:tcPr>
            <w:tcW w:w="2144" w:type="dxa"/>
            <w:tcBorders>
              <w:top w:val="single" w:sz="4" w:space="0" w:color="2F75B5"/>
              <w:left w:val="single" w:sz="4" w:space="0" w:color="2F75B5"/>
              <w:bottom w:val="single" w:sz="4" w:space="0" w:color="2F75B5"/>
              <w:right w:val="single" w:sz="4" w:space="0" w:color="2F75B5"/>
            </w:tcBorders>
          </w:tcPr>
          <w:p w14:paraId="175612B7" w14:textId="77777777" w:rsidR="00100F9F" w:rsidRDefault="00100F9F" w:rsidP="2459C0FB">
            <w:pPr>
              <w:spacing w:after="0"/>
              <w:jc w:val="center"/>
              <w:rPr>
                <w:rFonts w:ascii="Calibri" w:eastAsia="Calibri" w:hAnsi="Calibri" w:cs="Calibri"/>
                <w:color w:val="000000" w:themeColor="text1"/>
                <w:sz w:val="22"/>
                <w:szCs w:val="22"/>
              </w:rPr>
            </w:pPr>
          </w:p>
          <w:p w14:paraId="4A5F9C50" w14:textId="5C18A981" w:rsidR="00100F9F" w:rsidRPr="2459C0FB" w:rsidRDefault="00100F9F" w:rsidP="2459C0FB">
            <w:pPr>
              <w:spacing w:after="0"/>
              <w:jc w:val="center"/>
              <w:rPr>
                <w:rFonts w:ascii="Calibri" w:eastAsia="Calibri" w:hAnsi="Calibri" w:cs="Calibri"/>
                <w:color w:val="000000" w:themeColor="text1"/>
                <w:sz w:val="22"/>
                <w:szCs w:val="22"/>
              </w:rPr>
            </w:pPr>
            <w:r>
              <w:rPr>
                <w:rFonts w:ascii="Calibri" w:eastAsia="Calibri" w:hAnsi="Calibri" w:cs="Calibri"/>
                <w:color w:val="000000" w:themeColor="text1"/>
                <w:sz w:val="22"/>
                <w:szCs w:val="22"/>
              </w:rPr>
              <w:t>384</w:t>
            </w:r>
          </w:p>
        </w:tc>
      </w:tr>
      <w:tr w:rsidR="00100F9F" w14:paraId="7D99CBCE" w14:textId="50FC93D6" w:rsidTr="00100F9F">
        <w:trPr>
          <w:trHeight w:val="863"/>
        </w:trPr>
        <w:tc>
          <w:tcPr>
            <w:tcW w:w="2178"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3025509B" w14:textId="0469BBFA" w:rsidR="00100F9F" w:rsidRDefault="00100F9F" w:rsidP="2459C0FB">
            <w:pPr>
              <w:spacing w:after="0"/>
              <w:jc w:val="center"/>
            </w:pPr>
            <w:r w:rsidRPr="2459C0FB">
              <w:rPr>
                <w:rFonts w:ascii="Calibri" w:eastAsia="Calibri" w:hAnsi="Calibri" w:cs="Calibri"/>
                <w:color w:val="000000" w:themeColor="text1"/>
                <w:sz w:val="20"/>
                <w:szCs w:val="20"/>
              </w:rPr>
              <w:t>Gestión del Riesgo para el Bienestar Colectivo en los Territorios</w:t>
            </w:r>
          </w:p>
        </w:tc>
        <w:tc>
          <w:tcPr>
            <w:tcW w:w="2501"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38848B28" w14:textId="4D0B6BC7" w:rsidR="00100F9F" w:rsidRDefault="00100F9F" w:rsidP="2459C0FB">
            <w:pPr>
              <w:spacing w:after="0"/>
              <w:jc w:val="center"/>
            </w:pPr>
            <w:r w:rsidRPr="2459C0FB">
              <w:rPr>
                <w:rFonts w:ascii="Calibri" w:eastAsia="Calibri" w:hAnsi="Calibri" w:cs="Calibri"/>
                <w:color w:val="000000" w:themeColor="text1"/>
                <w:sz w:val="20"/>
                <w:szCs w:val="20"/>
              </w:rPr>
              <w:t>Recorridos en calle - Actividades Sexuales Pagadas (ASP)</w:t>
            </w:r>
          </w:p>
        </w:tc>
        <w:tc>
          <w:tcPr>
            <w:tcW w:w="2198"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2555EFE6" w14:textId="6A252CA8" w:rsidR="00100F9F" w:rsidRDefault="00100F9F" w:rsidP="2459C0FB">
            <w:pPr>
              <w:spacing w:after="0"/>
              <w:jc w:val="center"/>
            </w:pPr>
            <w:r>
              <w:rPr>
                <w:rFonts w:ascii="Calibri" w:eastAsia="Calibri" w:hAnsi="Calibri" w:cs="Calibri"/>
                <w:color w:val="000000" w:themeColor="text1"/>
                <w:sz w:val="22"/>
                <w:szCs w:val="22"/>
              </w:rPr>
              <w:t>132</w:t>
            </w:r>
          </w:p>
        </w:tc>
        <w:tc>
          <w:tcPr>
            <w:tcW w:w="2144" w:type="dxa"/>
            <w:tcBorders>
              <w:top w:val="single" w:sz="4" w:space="0" w:color="2F75B5"/>
              <w:left w:val="single" w:sz="4" w:space="0" w:color="2F75B5"/>
              <w:bottom w:val="single" w:sz="4" w:space="0" w:color="2F75B5"/>
              <w:right w:val="single" w:sz="4" w:space="0" w:color="2F75B5"/>
            </w:tcBorders>
          </w:tcPr>
          <w:p w14:paraId="392BAE74" w14:textId="77777777" w:rsidR="00100F9F" w:rsidRDefault="00100F9F" w:rsidP="2459C0FB">
            <w:pPr>
              <w:spacing w:after="0"/>
              <w:jc w:val="center"/>
              <w:rPr>
                <w:rFonts w:ascii="Calibri" w:eastAsia="Calibri" w:hAnsi="Calibri" w:cs="Calibri"/>
                <w:color w:val="000000" w:themeColor="text1"/>
                <w:sz w:val="22"/>
                <w:szCs w:val="22"/>
              </w:rPr>
            </w:pPr>
          </w:p>
          <w:p w14:paraId="04C04C5E" w14:textId="4421A762" w:rsidR="00100F9F" w:rsidRPr="2459C0FB" w:rsidRDefault="00100F9F" w:rsidP="00100F9F">
            <w:pPr>
              <w:spacing w:after="0"/>
              <w:jc w:val="center"/>
              <w:rPr>
                <w:rFonts w:ascii="Calibri" w:eastAsia="Calibri" w:hAnsi="Calibri" w:cs="Calibri"/>
                <w:color w:val="000000" w:themeColor="text1"/>
                <w:sz w:val="22"/>
                <w:szCs w:val="22"/>
              </w:rPr>
            </w:pPr>
            <w:r>
              <w:rPr>
                <w:rFonts w:ascii="Calibri" w:eastAsia="Calibri" w:hAnsi="Calibri" w:cs="Calibri"/>
                <w:color w:val="000000" w:themeColor="text1"/>
                <w:sz w:val="22"/>
                <w:szCs w:val="22"/>
              </w:rPr>
              <w:t>528</w:t>
            </w:r>
          </w:p>
        </w:tc>
      </w:tr>
      <w:tr w:rsidR="00100F9F" w14:paraId="770C2930" w14:textId="603E5A88" w:rsidTr="00100F9F">
        <w:trPr>
          <w:trHeight w:val="1333"/>
        </w:trPr>
        <w:tc>
          <w:tcPr>
            <w:tcW w:w="2178"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3A9253A8" w14:textId="799C24F4" w:rsidR="00100F9F" w:rsidRDefault="00100F9F" w:rsidP="2459C0FB">
            <w:pPr>
              <w:spacing w:after="0"/>
              <w:jc w:val="center"/>
            </w:pPr>
            <w:r w:rsidRPr="2459C0FB">
              <w:rPr>
                <w:rFonts w:ascii="Calibri" w:eastAsia="Calibri" w:hAnsi="Calibri" w:cs="Calibri"/>
                <w:color w:val="000000" w:themeColor="text1"/>
                <w:sz w:val="20"/>
                <w:szCs w:val="20"/>
              </w:rPr>
              <w:t xml:space="preserve">Promoción de la salud y bienestar </w:t>
            </w:r>
          </w:p>
        </w:tc>
        <w:tc>
          <w:tcPr>
            <w:tcW w:w="2501"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4CA79C57" w14:textId="4A9CD804" w:rsidR="00100F9F" w:rsidRDefault="00100F9F" w:rsidP="2459C0FB">
            <w:pPr>
              <w:spacing w:after="0"/>
              <w:jc w:val="center"/>
            </w:pPr>
            <w:r w:rsidRPr="2459C0FB">
              <w:rPr>
                <w:rFonts w:ascii="Calibri" w:eastAsia="Calibri" w:hAnsi="Calibri" w:cs="Calibri"/>
                <w:color w:val="000000" w:themeColor="text1"/>
                <w:sz w:val="20"/>
                <w:szCs w:val="20"/>
              </w:rPr>
              <w:t xml:space="preserve">Red para ciudad </w:t>
            </w:r>
          </w:p>
        </w:tc>
        <w:tc>
          <w:tcPr>
            <w:tcW w:w="2198"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29BE21D7" w14:textId="3F8CF1A0" w:rsidR="00100F9F" w:rsidRDefault="00100F9F" w:rsidP="2459C0FB">
            <w:pPr>
              <w:spacing w:after="0"/>
              <w:jc w:val="center"/>
            </w:pPr>
            <w:r>
              <w:rPr>
                <w:rFonts w:ascii="Calibri" w:eastAsia="Calibri" w:hAnsi="Calibri" w:cs="Calibri"/>
                <w:color w:val="000000" w:themeColor="text1"/>
                <w:sz w:val="22"/>
                <w:szCs w:val="22"/>
              </w:rPr>
              <w:t>96</w:t>
            </w:r>
          </w:p>
        </w:tc>
        <w:tc>
          <w:tcPr>
            <w:tcW w:w="2144" w:type="dxa"/>
            <w:tcBorders>
              <w:top w:val="single" w:sz="4" w:space="0" w:color="2F75B5"/>
              <w:left w:val="single" w:sz="4" w:space="0" w:color="2F75B5"/>
              <w:bottom w:val="single" w:sz="4" w:space="0" w:color="2F75B5"/>
              <w:right w:val="single" w:sz="4" w:space="0" w:color="2F75B5"/>
            </w:tcBorders>
          </w:tcPr>
          <w:p w14:paraId="5A1F303E" w14:textId="77777777" w:rsidR="00100F9F" w:rsidRDefault="00100F9F" w:rsidP="2459C0FB">
            <w:pPr>
              <w:spacing w:after="0"/>
              <w:jc w:val="center"/>
              <w:rPr>
                <w:rFonts w:ascii="Calibri" w:eastAsia="Calibri" w:hAnsi="Calibri" w:cs="Calibri"/>
                <w:color w:val="000000" w:themeColor="text1"/>
                <w:sz w:val="22"/>
                <w:szCs w:val="22"/>
              </w:rPr>
            </w:pPr>
          </w:p>
          <w:p w14:paraId="53240FF0" w14:textId="798AABF6" w:rsidR="00100F9F" w:rsidRPr="2459C0FB" w:rsidRDefault="00100F9F" w:rsidP="00100F9F">
            <w:pPr>
              <w:spacing w:after="0"/>
              <w:jc w:val="center"/>
              <w:rPr>
                <w:rFonts w:ascii="Calibri" w:eastAsia="Calibri" w:hAnsi="Calibri" w:cs="Calibri"/>
                <w:color w:val="000000" w:themeColor="text1"/>
                <w:sz w:val="22"/>
                <w:szCs w:val="22"/>
              </w:rPr>
            </w:pPr>
            <w:r>
              <w:rPr>
                <w:rFonts w:ascii="Calibri" w:eastAsia="Calibri" w:hAnsi="Calibri" w:cs="Calibri"/>
                <w:color w:val="000000" w:themeColor="text1"/>
                <w:sz w:val="22"/>
                <w:szCs w:val="22"/>
              </w:rPr>
              <w:t>384</w:t>
            </w:r>
          </w:p>
        </w:tc>
      </w:tr>
      <w:tr w:rsidR="00100F9F" w14:paraId="2BD308E3" w14:textId="29843FAF" w:rsidTr="00100F9F">
        <w:trPr>
          <w:trHeight w:val="1333"/>
        </w:trPr>
        <w:tc>
          <w:tcPr>
            <w:tcW w:w="2178"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61F3AD76" w14:textId="66275730" w:rsidR="00100F9F" w:rsidRDefault="00100F9F" w:rsidP="2459C0FB">
            <w:pPr>
              <w:spacing w:after="0"/>
              <w:jc w:val="center"/>
            </w:pPr>
            <w:r w:rsidRPr="2459C0FB">
              <w:rPr>
                <w:rFonts w:ascii="Calibri" w:eastAsia="Calibri" w:hAnsi="Calibri" w:cs="Calibri"/>
                <w:color w:val="000000" w:themeColor="text1"/>
                <w:sz w:val="20"/>
                <w:szCs w:val="20"/>
              </w:rPr>
              <w:lastRenderedPageBreak/>
              <w:t>Gestión del Riesgo para el Bienestar Colectivo en los Territorios</w:t>
            </w:r>
          </w:p>
        </w:tc>
        <w:tc>
          <w:tcPr>
            <w:tcW w:w="2501"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1365D58E" w14:textId="19F4BDDE" w:rsidR="00100F9F" w:rsidRDefault="00100F9F" w:rsidP="2459C0FB">
            <w:pPr>
              <w:spacing w:after="0"/>
              <w:jc w:val="center"/>
            </w:pPr>
            <w:r w:rsidRPr="2459C0FB">
              <w:rPr>
                <w:rFonts w:ascii="Calibri" w:eastAsia="Calibri" w:hAnsi="Calibri" w:cs="Calibri"/>
                <w:color w:val="000000" w:themeColor="text1"/>
                <w:sz w:val="20"/>
                <w:szCs w:val="20"/>
              </w:rPr>
              <w:t xml:space="preserve">Asesorías prevención y detección temprana de factores de </w:t>
            </w:r>
            <w:bookmarkStart w:id="1" w:name="_Int_XcnmiEJT"/>
            <w:r w:rsidRPr="2459C0FB">
              <w:rPr>
                <w:rFonts w:ascii="Calibri" w:eastAsia="Calibri" w:hAnsi="Calibri" w:cs="Calibri"/>
                <w:color w:val="000000" w:themeColor="text1"/>
                <w:sz w:val="20"/>
                <w:szCs w:val="20"/>
              </w:rPr>
              <w:t>riesgo  psicosocial</w:t>
            </w:r>
            <w:bookmarkEnd w:id="1"/>
            <w:r w:rsidRPr="2459C0FB">
              <w:rPr>
                <w:rFonts w:ascii="Calibri" w:eastAsia="Calibri" w:hAnsi="Calibri" w:cs="Calibri"/>
                <w:color w:val="000000" w:themeColor="text1"/>
                <w:sz w:val="20"/>
                <w:szCs w:val="20"/>
              </w:rPr>
              <w:t xml:space="preserve"> y en salud</w:t>
            </w:r>
          </w:p>
        </w:tc>
        <w:tc>
          <w:tcPr>
            <w:tcW w:w="2198"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4806F260" w14:textId="2F52CE3C" w:rsidR="00100F9F" w:rsidRDefault="00100F9F" w:rsidP="2459C0FB">
            <w:pPr>
              <w:spacing w:after="0"/>
              <w:jc w:val="center"/>
            </w:pPr>
            <w:r>
              <w:rPr>
                <w:rFonts w:ascii="Calibri" w:eastAsia="Calibri" w:hAnsi="Calibri" w:cs="Calibri"/>
                <w:color w:val="000000" w:themeColor="text1"/>
                <w:sz w:val="22"/>
                <w:szCs w:val="22"/>
              </w:rPr>
              <w:t>1.104</w:t>
            </w:r>
          </w:p>
        </w:tc>
        <w:tc>
          <w:tcPr>
            <w:tcW w:w="2144" w:type="dxa"/>
            <w:tcBorders>
              <w:top w:val="single" w:sz="4" w:space="0" w:color="2F75B5"/>
              <w:left w:val="single" w:sz="4" w:space="0" w:color="2F75B5"/>
              <w:bottom w:val="single" w:sz="4" w:space="0" w:color="2F75B5"/>
              <w:right w:val="single" w:sz="4" w:space="0" w:color="2F75B5"/>
            </w:tcBorders>
          </w:tcPr>
          <w:p w14:paraId="4632FE87" w14:textId="77777777" w:rsidR="00100F9F" w:rsidRDefault="00100F9F" w:rsidP="2459C0FB">
            <w:pPr>
              <w:spacing w:after="0"/>
              <w:jc w:val="center"/>
              <w:rPr>
                <w:rFonts w:ascii="Calibri" w:eastAsia="Calibri" w:hAnsi="Calibri" w:cs="Calibri"/>
                <w:color w:val="000000" w:themeColor="text1"/>
                <w:sz w:val="22"/>
                <w:szCs w:val="22"/>
              </w:rPr>
            </w:pPr>
          </w:p>
          <w:p w14:paraId="518BD9B7" w14:textId="2D5B5929" w:rsidR="00100F9F" w:rsidRPr="2459C0FB" w:rsidRDefault="00100F9F" w:rsidP="2459C0FB">
            <w:pPr>
              <w:spacing w:after="0"/>
              <w:jc w:val="center"/>
              <w:rPr>
                <w:rFonts w:ascii="Calibri" w:eastAsia="Calibri" w:hAnsi="Calibri" w:cs="Calibri"/>
                <w:color w:val="000000" w:themeColor="text1"/>
                <w:sz w:val="22"/>
                <w:szCs w:val="22"/>
              </w:rPr>
            </w:pPr>
            <w:r>
              <w:rPr>
                <w:rFonts w:ascii="Calibri" w:eastAsia="Calibri" w:hAnsi="Calibri" w:cs="Calibri"/>
                <w:color w:val="000000" w:themeColor="text1"/>
                <w:sz w:val="22"/>
                <w:szCs w:val="22"/>
              </w:rPr>
              <w:t>4416</w:t>
            </w:r>
          </w:p>
        </w:tc>
      </w:tr>
      <w:tr w:rsidR="00100F9F" w14:paraId="6D451EB1" w14:textId="7D2C23B5" w:rsidTr="00100F9F">
        <w:trPr>
          <w:trHeight w:val="1333"/>
        </w:trPr>
        <w:tc>
          <w:tcPr>
            <w:tcW w:w="2178"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58DCE3EF" w14:textId="2DDA79AC" w:rsidR="00100F9F" w:rsidRDefault="00100F9F" w:rsidP="2459C0FB">
            <w:pPr>
              <w:spacing w:after="0"/>
              <w:jc w:val="center"/>
            </w:pPr>
            <w:r>
              <w:rPr>
                <w:rFonts w:ascii="Calibri" w:eastAsia="Calibri" w:hAnsi="Calibri" w:cs="Calibri"/>
                <w:color w:val="000000" w:themeColor="text1"/>
                <w:sz w:val="20"/>
                <w:szCs w:val="20"/>
              </w:rPr>
              <w:t xml:space="preserve">Identificación de eventos de </w:t>
            </w:r>
            <w:r w:rsidRPr="2459C0FB">
              <w:rPr>
                <w:rFonts w:ascii="Calibri" w:eastAsia="Calibri" w:hAnsi="Calibri" w:cs="Calibri"/>
                <w:color w:val="000000" w:themeColor="text1"/>
                <w:sz w:val="20"/>
                <w:szCs w:val="20"/>
              </w:rPr>
              <w:t>Alta externalidad</w:t>
            </w:r>
            <w:r>
              <w:rPr>
                <w:rFonts w:ascii="Calibri" w:eastAsia="Calibri" w:hAnsi="Calibri" w:cs="Calibri"/>
                <w:color w:val="000000" w:themeColor="text1"/>
                <w:sz w:val="20"/>
                <w:szCs w:val="20"/>
              </w:rPr>
              <w:t xml:space="preserve"> en salud pública</w:t>
            </w:r>
          </w:p>
        </w:tc>
        <w:tc>
          <w:tcPr>
            <w:tcW w:w="2501"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0D257ECF" w14:textId="6192FFE1" w:rsidR="00100F9F" w:rsidRDefault="00100F9F" w:rsidP="2459C0FB">
            <w:pPr>
              <w:spacing w:after="0"/>
              <w:jc w:val="center"/>
            </w:pPr>
            <w:r w:rsidRPr="2459C0FB">
              <w:rPr>
                <w:rFonts w:ascii="Calibri" w:eastAsia="Calibri" w:hAnsi="Calibri" w:cs="Calibri"/>
                <w:color w:val="000000" w:themeColor="text1"/>
                <w:sz w:val="20"/>
                <w:szCs w:val="20"/>
              </w:rPr>
              <w:t>Tamizajes para la prevención y detección temprana de factores de riesgo ITS (ASP)</w:t>
            </w:r>
          </w:p>
        </w:tc>
        <w:tc>
          <w:tcPr>
            <w:tcW w:w="2198"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463937FF" w14:textId="29DEF17F" w:rsidR="00100F9F" w:rsidRDefault="00100F9F" w:rsidP="2459C0FB">
            <w:pPr>
              <w:spacing w:after="0"/>
              <w:jc w:val="center"/>
            </w:pPr>
            <w:r>
              <w:rPr>
                <w:rFonts w:ascii="Calibri" w:eastAsia="Calibri" w:hAnsi="Calibri" w:cs="Calibri"/>
                <w:color w:val="000000" w:themeColor="text1"/>
                <w:sz w:val="22"/>
                <w:szCs w:val="22"/>
              </w:rPr>
              <w:t>2.400</w:t>
            </w:r>
          </w:p>
        </w:tc>
        <w:tc>
          <w:tcPr>
            <w:tcW w:w="2144" w:type="dxa"/>
            <w:tcBorders>
              <w:top w:val="single" w:sz="4" w:space="0" w:color="2F75B5"/>
              <w:left w:val="single" w:sz="4" w:space="0" w:color="2F75B5"/>
              <w:bottom w:val="single" w:sz="4" w:space="0" w:color="2F75B5"/>
              <w:right w:val="single" w:sz="4" w:space="0" w:color="2F75B5"/>
            </w:tcBorders>
          </w:tcPr>
          <w:p w14:paraId="247844C0" w14:textId="77777777" w:rsidR="00100F9F" w:rsidRDefault="00100F9F" w:rsidP="2459C0FB">
            <w:pPr>
              <w:spacing w:after="0"/>
              <w:jc w:val="center"/>
              <w:rPr>
                <w:rFonts w:ascii="Calibri" w:eastAsia="Calibri" w:hAnsi="Calibri" w:cs="Calibri"/>
                <w:color w:val="000000" w:themeColor="text1"/>
                <w:sz w:val="22"/>
                <w:szCs w:val="22"/>
              </w:rPr>
            </w:pPr>
          </w:p>
          <w:p w14:paraId="2162DBFB" w14:textId="34F23ED6" w:rsidR="00100F9F" w:rsidRPr="2459C0FB" w:rsidRDefault="00100F9F" w:rsidP="2459C0FB">
            <w:pPr>
              <w:spacing w:after="0"/>
              <w:jc w:val="center"/>
              <w:rPr>
                <w:rFonts w:ascii="Calibri" w:eastAsia="Calibri" w:hAnsi="Calibri" w:cs="Calibri"/>
                <w:color w:val="000000" w:themeColor="text1"/>
                <w:sz w:val="22"/>
                <w:szCs w:val="22"/>
              </w:rPr>
            </w:pPr>
            <w:r>
              <w:rPr>
                <w:rFonts w:ascii="Calibri" w:eastAsia="Calibri" w:hAnsi="Calibri" w:cs="Calibri"/>
                <w:color w:val="000000" w:themeColor="text1"/>
                <w:sz w:val="22"/>
                <w:szCs w:val="22"/>
              </w:rPr>
              <w:t>9600</w:t>
            </w:r>
          </w:p>
        </w:tc>
      </w:tr>
      <w:tr w:rsidR="00100F9F" w14:paraId="22596BC4" w14:textId="689DDE29" w:rsidTr="00100F9F">
        <w:trPr>
          <w:trHeight w:val="1333"/>
        </w:trPr>
        <w:tc>
          <w:tcPr>
            <w:tcW w:w="2178"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12AA4190" w14:textId="485A4FB4" w:rsidR="00100F9F" w:rsidRDefault="00100F9F" w:rsidP="2459C0FB">
            <w:pPr>
              <w:spacing w:after="0"/>
              <w:jc w:val="center"/>
            </w:pPr>
            <w:r w:rsidRPr="2459C0FB">
              <w:rPr>
                <w:rFonts w:ascii="Calibri" w:eastAsia="Calibri" w:hAnsi="Calibri" w:cs="Calibri"/>
                <w:color w:val="000000" w:themeColor="text1"/>
                <w:sz w:val="20"/>
                <w:szCs w:val="20"/>
              </w:rPr>
              <w:t>Gestión del Riesgo para el Bienestar Colectivo en los Territorios</w:t>
            </w:r>
          </w:p>
        </w:tc>
        <w:tc>
          <w:tcPr>
            <w:tcW w:w="2501"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3E5B886B" w14:textId="4C5330BC" w:rsidR="00100F9F" w:rsidRDefault="00100F9F" w:rsidP="2459C0FB">
            <w:pPr>
              <w:spacing w:after="0"/>
              <w:jc w:val="center"/>
            </w:pPr>
            <w:r w:rsidRPr="2459C0FB">
              <w:rPr>
                <w:rFonts w:ascii="Calibri" w:eastAsia="Calibri" w:hAnsi="Calibri" w:cs="Calibri"/>
                <w:color w:val="000000" w:themeColor="text1"/>
                <w:sz w:val="20"/>
                <w:szCs w:val="20"/>
              </w:rPr>
              <w:t xml:space="preserve">Acciones de acompañamiento a la población para la efectividad a las canalizaciones </w:t>
            </w:r>
          </w:p>
        </w:tc>
        <w:tc>
          <w:tcPr>
            <w:tcW w:w="2198" w:type="dxa"/>
            <w:tcBorders>
              <w:top w:val="single" w:sz="4" w:space="0" w:color="2F75B5"/>
              <w:left w:val="single" w:sz="4" w:space="0" w:color="2F75B5"/>
              <w:bottom w:val="single" w:sz="4" w:space="0" w:color="2F75B5"/>
              <w:right w:val="single" w:sz="4" w:space="0" w:color="2F75B5"/>
            </w:tcBorders>
            <w:tcMar>
              <w:top w:w="15" w:type="dxa"/>
              <w:left w:w="15" w:type="dxa"/>
              <w:right w:w="15" w:type="dxa"/>
            </w:tcMar>
            <w:vAlign w:val="center"/>
          </w:tcPr>
          <w:p w14:paraId="390A6FDD" w14:textId="73E0EFA2" w:rsidR="00100F9F" w:rsidRDefault="00100F9F" w:rsidP="2459C0FB">
            <w:pPr>
              <w:spacing w:after="0"/>
              <w:jc w:val="center"/>
            </w:pPr>
            <w:r>
              <w:rPr>
                <w:rFonts w:ascii="Calibri" w:eastAsia="Calibri" w:hAnsi="Calibri" w:cs="Calibri"/>
                <w:color w:val="000000" w:themeColor="text1"/>
                <w:sz w:val="22"/>
                <w:szCs w:val="22"/>
              </w:rPr>
              <w:t>408</w:t>
            </w:r>
          </w:p>
        </w:tc>
        <w:tc>
          <w:tcPr>
            <w:tcW w:w="2144" w:type="dxa"/>
            <w:tcBorders>
              <w:top w:val="single" w:sz="4" w:space="0" w:color="2F75B5"/>
              <w:left w:val="single" w:sz="4" w:space="0" w:color="2F75B5"/>
              <w:bottom w:val="single" w:sz="4" w:space="0" w:color="2F75B5"/>
              <w:right w:val="single" w:sz="4" w:space="0" w:color="2F75B5"/>
            </w:tcBorders>
          </w:tcPr>
          <w:p w14:paraId="4C615D5A" w14:textId="77777777" w:rsidR="00100F9F" w:rsidRDefault="00100F9F" w:rsidP="2459C0FB">
            <w:pPr>
              <w:spacing w:after="0"/>
              <w:jc w:val="center"/>
              <w:rPr>
                <w:rFonts w:ascii="Calibri" w:eastAsia="Calibri" w:hAnsi="Calibri" w:cs="Calibri"/>
                <w:color w:val="000000" w:themeColor="text1"/>
                <w:sz w:val="22"/>
                <w:szCs w:val="22"/>
              </w:rPr>
            </w:pPr>
          </w:p>
          <w:p w14:paraId="0B60AAA8" w14:textId="4E4715B8" w:rsidR="00100F9F" w:rsidRPr="2459C0FB" w:rsidRDefault="00100F9F" w:rsidP="2459C0FB">
            <w:pPr>
              <w:spacing w:after="0"/>
              <w:jc w:val="center"/>
              <w:rPr>
                <w:rFonts w:ascii="Calibri" w:eastAsia="Calibri" w:hAnsi="Calibri" w:cs="Calibri"/>
                <w:color w:val="000000" w:themeColor="text1"/>
                <w:sz w:val="22"/>
                <w:szCs w:val="22"/>
              </w:rPr>
            </w:pPr>
            <w:r>
              <w:rPr>
                <w:rFonts w:ascii="Calibri" w:eastAsia="Calibri" w:hAnsi="Calibri" w:cs="Calibri"/>
                <w:color w:val="000000" w:themeColor="text1"/>
                <w:sz w:val="22"/>
                <w:szCs w:val="22"/>
              </w:rPr>
              <w:t>1632</w:t>
            </w:r>
          </w:p>
        </w:tc>
      </w:tr>
    </w:tbl>
    <w:p w14:paraId="09BE68E6" w14:textId="77777777" w:rsidR="00EF62FC" w:rsidRDefault="00EF62FC">
      <w:pPr>
        <w:spacing w:line="240" w:lineRule="auto"/>
        <w:jc w:val="both"/>
        <w:rPr>
          <w:kern w:val="2"/>
          <w:lang w:val="es-CO" w:eastAsia="es-CO"/>
          <w14:ligatures w14:val="standardContextual"/>
        </w:rPr>
      </w:pPr>
      <w:r>
        <w:rPr>
          <w:sz w:val="18"/>
          <w:szCs w:val="18"/>
          <w:lang w:val="es-MX"/>
        </w:rPr>
        <w:t>Fuente: Secretaría Distrital de Salud - Subsecretaría de Salud Pública - Plan programático y presupuestal, convenios GSP-PIC, año 2026.</w:t>
      </w:r>
    </w:p>
    <w:p w14:paraId="7C67BDA2" w14:textId="77777777" w:rsidR="00EF62FC" w:rsidRDefault="00EF62FC">
      <w:pPr>
        <w:spacing w:line="240" w:lineRule="auto"/>
        <w:jc w:val="both"/>
        <w:rPr>
          <w:kern w:val="2"/>
          <w:lang w:val="es-CO" w:eastAsia="es-CO"/>
          <w14:ligatures w14:val="standardContextual"/>
        </w:rPr>
      </w:pPr>
      <w:r>
        <w:rPr>
          <w:sz w:val="22"/>
          <w:szCs w:val="22"/>
        </w:rPr>
        <w:t>Las acciones mencionadas en la tabla anterior tienen los siguientes alcances y propósitos:</w:t>
      </w:r>
    </w:p>
    <w:p w14:paraId="1EB3D146" w14:textId="77777777" w:rsidR="00EF62FC" w:rsidRDefault="00EF62FC">
      <w:pPr>
        <w:spacing w:line="240" w:lineRule="auto"/>
        <w:jc w:val="both"/>
        <w:rPr>
          <w:kern w:val="2"/>
          <w:lang w:val="es-CO" w:eastAsia="es-CO"/>
          <w14:ligatures w14:val="standardContextual"/>
        </w:rPr>
      </w:pPr>
      <w:r>
        <w:rPr>
          <w:b/>
          <w:bCs/>
          <w:sz w:val="22"/>
          <w:szCs w:val="22"/>
        </w:rPr>
        <w:t>- Sesiones educativas para población diferencial que se dedica a actividades sexuales pagadas (ASP):</w:t>
      </w:r>
      <w:r>
        <w:rPr>
          <w:sz w:val="22"/>
          <w:szCs w:val="22"/>
        </w:rPr>
        <w:t xml:space="preserve"> Corresponden a espacios grupales orientados al fortalecimiento de capacidades de autocuidado, salud integral y protección de derechos de las personas vinculadas a actividades sexuales pagadas, mediante metodologías participativas de educación para la salud.</w:t>
      </w:r>
    </w:p>
    <w:p w14:paraId="69446FDD" w14:textId="77777777" w:rsidR="00E16580" w:rsidRPr="00E16580" w:rsidRDefault="00E16580" w:rsidP="00E16580">
      <w:pPr>
        <w:spacing w:before="100" w:beforeAutospacing="1" w:after="100" w:afterAutospacing="1" w:line="240" w:lineRule="auto"/>
        <w:jc w:val="both"/>
        <w:rPr>
          <w:rFonts w:eastAsia="Times New Roman" w:cstheme="minorHAnsi"/>
          <w:sz w:val="22"/>
          <w:szCs w:val="22"/>
          <w:lang w:val="es-CO" w:eastAsia="es-CO"/>
        </w:rPr>
      </w:pPr>
      <w:r w:rsidRPr="00E16580">
        <w:rPr>
          <w:rFonts w:eastAsia="Times New Roman" w:cstheme="minorHAnsi"/>
          <w:sz w:val="22"/>
          <w:szCs w:val="22"/>
          <w:lang w:val="es-CO" w:eastAsia="es-CO"/>
        </w:rPr>
        <w:t>Las temáticas abordadas incluyen, entre otras:</w:t>
      </w:r>
    </w:p>
    <w:p w14:paraId="01845FF5" w14:textId="77777777" w:rsidR="00E16580" w:rsidRPr="00E16580" w:rsidRDefault="00E16580" w:rsidP="00E16580">
      <w:pPr>
        <w:numPr>
          <w:ilvl w:val="0"/>
          <w:numId w:val="5"/>
        </w:numPr>
        <w:spacing w:before="100" w:beforeAutospacing="1" w:after="100" w:afterAutospacing="1" w:line="240" w:lineRule="auto"/>
        <w:jc w:val="both"/>
        <w:rPr>
          <w:rFonts w:eastAsia="Times New Roman" w:cstheme="minorHAnsi"/>
          <w:sz w:val="22"/>
          <w:szCs w:val="22"/>
          <w:lang w:val="es-CO" w:eastAsia="es-CO"/>
        </w:rPr>
      </w:pPr>
      <w:r w:rsidRPr="00E16580">
        <w:rPr>
          <w:rFonts w:eastAsia="Times New Roman" w:cstheme="minorHAnsi"/>
          <w:sz w:val="22"/>
          <w:szCs w:val="22"/>
          <w:lang w:val="es-CO" w:eastAsia="es-CO"/>
        </w:rPr>
        <w:t>Prevención de la trata de personas y explotación sexual.</w:t>
      </w:r>
    </w:p>
    <w:p w14:paraId="4E61F858" w14:textId="77777777" w:rsidR="00E16580" w:rsidRPr="00E16580" w:rsidRDefault="00E16580" w:rsidP="00E16580">
      <w:pPr>
        <w:numPr>
          <w:ilvl w:val="0"/>
          <w:numId w:val="5"/>
        </w:numPr>
        <w:spacing w:before="100" w:beforeAutospacing="1" w:after="100" w:afterAutospacing="1" w:line="240" w:lineRule="auto"/>
        <w:jc w:val="both"/>
        <w:rPr>
          <w:rFonts w:eastAsia="Times New Roman" w:cstheme="minorHAnsi"/>
          <w:sz w:val="22"/>
          <w:szCs w:val="22"/>
          <w:lang w:val="es-CO" w:eastAsia="es-CO"/>
        </w:rPr>
      </w:pPr>
      <w:r w:rsidRPr="00E16580">
        <w:rPr>
          <w:rFonts w:eastAsia="Times New Roman" w:cstheme="minorHAnsi"/>
          <w:sz w:val="22"/>
          <w:szCs w:val="22"/>
          <w:lang w:val="es-CO" w:eastAsia="es-CO"/>
        </w:rPr>
        <w:t>Riesgos asociados a transformaciones corporales artesanales.</w:t>
      </w:r>
    </w:p>
    <w:p w14:paraId="1F81269B" w14:textId="77777777" w:rsidR="00E16580" w:rsidRPr="00E16580" w:rsidRDefault="00E16580" w:rsidP="00E16580">
      <w:pPr>
        <w:numPr>
          <w:ilvl w:val="0"/>
          <w:numId w:val="5"/>
        </w:numPr>
        <w:spacing w:before="100" w:beforeAutospacing="1" w:after="100" w:afterAutospacing="1" w:line="240" w:lineRule="auto"/>
        <w:jc w:val="both"/>
        <w:rPr>
          <w:rFonts w:eastAsia="Times New Roman" w:cstheme="minorHAnsi"/>
          <w:sz w:val="22"/>
          <w:szCs w:val="22"/>
          <w:lang w:val="es-CO" w:eastAsia="es-CO"/>
        </w:rPr>
      </w:pPr>
      <w:r w:rsidRPr="00E16580">
        <w:rPr>
          <w:rFonts w:eastAsia="Times New Roman" w:cstheme="minorHAnsi"/>
          <w:sz w:val="22"/>
          <w:szCs w:val="22"/>
          <w:lang w:val="es-CO" w:eastAsia="es-CO"/>
        </w:rPr>
        <w:t>Salud menstrual y salud sexual y reproductiva.</w:t>
      </w:r>
    </w:p>
    <w:p w14:paraId="38B2D70F" w14:textId="77777777" w:rsidR="00E16580" w:rsidRPr="00E16580" w:rsidRDefault="00E16580" w:rsidP="00E16580">
      <w:pPr>
        <w:numPr>
          <w:ilvl w:val="0"/>
          <w:numId w:val="5"/>
        </w:numPr>
        <w:spacing w:before="100" w:beforeAutospacing="1" w:after="100" w:afterAutospacing="1" w:line="240" w:lineRule="auto"/>
        <w:jc w:val="both"/>
        <w:rPr>
          <w:rFonts w:eastAsia="Times New Roman" w:cstheme="minorHAnsi"/>
          <w:sz w:val="22"/>
          <w:szCs w:val="22"/>
          <w:lang w:val="es-CO" w:eastAsia="es-CO"/>
        </w:rPr>
      </w:pPr>
      <w:r w:rsidRPr="00E16580">
        <w:rPr>
          <w:rFonts w:eastAsia="Times New Roman" w:cstheme="minorHAnsi"/>
          <w:sz w:val="22"/>
          <w:szCs w:val="22"/>
          <w:lang w:val="es-CO" w:eastAsia="es-CO"/>
        </w:rPr>
        <w:t>Prevención del consumo problemático de sustancias psicoactivas.</w:t>
      </w:r>
    </w:p>
    <w:p w14:paraId="3FF1309E" w14:textId="77777777" w:rsidR="00E16580" w:rsidRPr="00E16580" w:rsidRDefault="00E16580" w:rsidP="00E16580">
      <w:pPr>
        <w:numPr>
          <w:ilvl w:val="0"/>
          <w:numId w:val="5"/>
        </w:numPr>
        <w:spacing w:before="100" w:beforeAutospacing="1" w:after="100" w:afterAutospacing="1" w:line="240" w:lineRule="auto"/>
        <w:jc w:val="both"/>
        <w:rPr>
          <w:rFonts w:eastAsia="Times New Roman" w:cstheme="minorHAnsi"/>
          <w:sz w:val="22"/>
          <w:szCs w:val="22"/>
          <w:lang w:val="es-CO" w:eastAsia="es-CO"/>
        </w:rPr>
      </w:pPr>
      <w:r w:rsidRPr="00E16580">
        <w:rPr>
          <w:rFonts w:eastAsia="Times New Roman" w:cstheme="minorHAnsi"/>
          <w:sz w:val="22"/>
          <w:szCs w:val="22"/>
          <w:lang w:val="es-CO" w:eastAsia="es-CO"/>
        </w:rPr>
        <w:t>Salud mental y manejo emocional.</w:t>
      </w:r>
    </w:p>
    <w:p w14:paraId="22E2F2E5" w14:textId="77777777" w:rsidR="00E16580" w:rsidRPr="00E16580" w:rsidRDefault="00E16580" w:rsidP="00E16580">
      <w:pPr>
        <w:numPr>
          <w:ilvl w:val="0"/>
          <w:numId w:val="5"/>
        </w:numPr>
        <w:spacing w:before="100" w:beforeAutospacing="1" w:after="100" w:afterAutospacing="1" w:line="240" w:lineRule="auto"/>
        <w:jc w:val="both"/>
        <w:rPr>
          <w:rFonts w:eastAsia="Times New Roman" w:cstheme="minorHAnsi"/>
          <w:sz w:val="22"/>
          <w:szCs w:val="22"/>
          <w:lang w:val="es-CO" w:eastAsia="es-CO"/>
        </w:rPr>
      </w:pPr>
      <w:r w:rsidRPr="00E16580">
        <w:rPr>
          <w:rFonts w:eastAsia="Times New Roman" w:cstheme="minorHAnsi"/>
          <w:sz w:val="22"/>
          <w:szCs w:val="22"/>
          <w:lang w:val="es-CO" w:eastAsia="es-CO"/>
        </w:rPr>
        <w:t>Prevención de infecciones de transmisión sexual (ITS) y VIH.</w:t>
      </w:r>
    </w:p>
    <w:p w14:paraId="778CF854" w14:textId="77777777" w:rsidR="00E16580" w:rsidRPr="00E16580" w:rsidRDefault="00E16580" w:rsidP="00E16580">
      <w:pPr>
        <w:numPr>
          <w:ilvl w:val="0"/>
          <w:numId w:val="5"/>
        </w:numPr>
        <w:spacing w:before="100" w:beforeAutospacing="1" w:after="100" w:afterAutospacing="1" w:line="240" w:lineRule="auto"/>
        <w:jc w:val="both"/>
        <w:rPr>
          <w:rFonts w:eastAsia="Times New Roman" w:cstheme="minorHAnsi"/>
          <w:sz w:val="22"/>
          <w:szCs w:val="22"/>
          <w:lang w:val="es-CO" w:eastAsia="es-CO"/>
        </w:rPr>
      </w:pPr>
      <w:r w:rsidRPr="00E16580">
        <w:rPr>
          <w:rFonts w:eastAsia="Times New Roman" w:cstheme="minorHAnsi"/>
          <w:sz w:val="22"/>
          <w:szCs w:val="22"/>
          <w:lang w:val="es-CO" w:eastAsia="es-CO"/>
        </w:rPr>
        <w:t>Ejercicio de derechos y acceso a servicios de salud.</w:t>
      </w:r>
    </w:p>
    <w:p w14:paraId="761FB71B" w14:textId="77777777" w:rsidR="00E16580" w:rsidRPr="00E16580" w:rsidRDefault="00E16580" w:rsidP="00E16580">
      <w:pPr>
        <w:numPr>
          <w:ilvl w:val="0"/>
          <w:numId w:val="5"/>
        </w:numPr>
        <w:spacing w:before="100" w:beforeAutospacing="1" w:after="100" w:afterAutospacing="1" w:line="240" w:lineRule="auto"/>
        <w:jc w:val="both"/>
        <w:rPr>
          <w:rFonts w:eastAsia="Times New Roman" w:cstheme="minorHAnsi"/>
          <w:sz w:val="22"/>
          <w:szCs w:val="22"/>
          <w:lang w:val="es-CO" w:eastAsia="es-CO"/>
        </w:rPr>
      </w:pPr>
      <w:r w:rsidRPr="00E16580">
        <w:rPr>
          <w:rFonts w:eastAsia="Times New Roman" w:cstheme="minorHAnsi"/>
          <w:sz w:val="22"/>
          <w:szCs w:val="22"/>
          <w:lang w:val="es-CO" w:eastAsia="es-CO"/>
        </w:rPr>
        <w:t>Otras temáticas priorizadas de acuerdo con las necesidades identificadas en territorio.</w:t>
      </w:r>
    </w:p>
    <w:p w14:paraId="54D792A5" w14:textId="77777777" w:rsidR="00EF62FC" w:rsidRDefault="00EF62FC">
      <w:pPr>
        <w:spacing w:line="240" w:lineRule="auto"/>
        <w:jc w:val="both"/>
        <w:rPr>
          <w:kern w:val="2"/>
          <w:lang w:val="es-CO" w:eastAsia="es-CO"/>
          <w14:ligatures w14:val="standardContextual"/>
        </w:rPr>
      </w:pPr>
      <w:r>
        <w:rPr>
          <w:b/>
          <w:bCs/>
          <w:sz w:val="22"/>
          <w:szCs w:val="22"/>
        </w:rPr>
        <w:t xml:space="preserve">- Recorridos en calle para actividades de promoción de la salud a personas que se dedican a actividades sexuales pagadas (ASP): </w:t>
      </w:r>
      <w:r>
        <w:rPr>
          <w:sz w:val="22"/>
          <w:szCs w:val="22"/>
        </w:rPr>
        <w:t>Consisten en recorridos territoriales dirigidos a facilitar el acercamiento institucional con la población, promover procesos de escucha activa, educación no formal y divulgación de servicios de salud, así como identificar situaciones que puedan afectar el bienestar y la salud de las personas vinculadas a ASP.</w:t>
      </w:r>
    </w:p>
    <w:p w14:paraId="669FC5AA" w14:textId="77777777" w:rsidR="00E16580" w:rsidRPr="00E16580" w:rsidRDefault="00E16580" w:rsidP="00E16580">
      <w:pPr>
        <w:spacing w:before="100" w:beforeAutospacing="1" w:after="100" w:afterAutospacing="1" w:line="240" w:lineRule="auto"/>
        <w:jc w:val="both"/>
        <w:rPr>
          <w:rFonts w:eastAsia="Times New Roman" w:cstheme="minorHAnsi"/>
          <w:sz w:val="22"/>
          <w:szCs w:val="22"/>
          <w:lang w:val="es-CO" w:eastAsia="es-CO"/>
        </w:rPr>
      </w:pPr>
      <w:r w:rsidRPr="00E16580">
        <w:rPr>
          <w:rFonts w:eastAsia="Times New Roman" w:cstheme="minorHAnsi"/>
          <w:sz w:val="22"/>
          <w:szCs w:val="22"/>
          <w:lang w:val="es-CO" w:eastAsia="es-CO"/>
        </w:rPr>
        <w:t>Durante estos recorridos se desarrollan acciones de información y educación en salud sexual y reproductiva, así como entrega de preservativos, de acuerdo con disponibilidad institucional.</w:t>
      </w:r>
    </w:p>
    <w:p w14:paraId="37C60A7E" w14:textId="77777777" w:rsidR="00EF62FC" w:rsidRDefault="00EF62FC">
      <w:pPr>
        <w:spacing w:line="240" w:lineRule="auto"/>
        <w:jc w:val="both"/>
        <w:rPr>
          <w:kern w:val="2"/>
          <w:lang w:val="es-CO" w:eastAsia="es-CO"/>
          <w14:ligatures w14:val="standardContextual"/>
        </w:rPr>
      </w:pPr>
      <w:r>
        <w:rPr>
          <w:b/>
          <w:bCs/>
          <w:sz w:val="22"/>
          <w:szCs w:val="22"/>
        </w:rPr>
        <w:t xml:space="preserve">- Estrategia Red para Ciudad: </w:t>
      </w:r>
      <w:r>
        <w:rPr>
          <w:sz w:val="22"/>
          <w:szCs w:val="22"/>
        </w:rPr>
        <w:t>Tiene como objetivo fortalecer las capacidades individuales y colectivas mediante la consolidación de redes comunitarias de apoyo, orientadas al cuidado integral de la salud, el bienestar psicosocial y la garantía de derechos.</w:t>
      </w:r>
    </w:p>
    <w:p w14:paraId="0093C3CB" w14:textId="77777777" w:rsidR="00E16580" w:rsidRPr="00E16580" w:rsidRDefault="00E16580" w:rsidP="00E16580">
      <w:pPr>
        <w:spacing w:before="100" w:beforeAutospacing="1" w:after="100" w:afterAutospacing="1" w:line="240" w:lineRule="auto"/>
        <w:jc w:val="both"/>
        <w:rPr>
          <w:rFonts w:eastAsia="Times New Roman" w:cstheme="minorHAnsi"/>
          <w:sz w:val="22"/>
          <w:szCs w:val="22"/>
          <w:lang w:val="es-CO" w:eastAsia="es-CO"/>
        </w:rPr>
      </w:pPr>
      <w:r w:rsidRPr="00E16580">
        <w:rPr>
          <w:rFonts w:eastAsia="Times New Roman" w:cstheme="minorHAnsi"/>
          <w:sz w:val="22"/>
          <w:szCs w:val="22"/>
          <w:lang w:val="es-CO" w:eastAsia="es-CO"/>
        </w:rPr>
        <w:t>Esta estrategia promueve procesos participativos, diferenciales e intersectoriales que permiten identificar necesidades territoriales y gestionar respuestas institucionales y comunitarias articuladas.</w:t>
      </w:r>
    </w:p>
    <w:p w14:paraId="315FC0A8" w14:textId="77777777" w:rsidR="00EF62FC" w:rsidRDefault="00EF62FC">
      <w:pPr>
        <w:spacing w:line="240" w:lineRule="auto"/>
        <w:jc w:val="both"/>
        <w:rPr>
          <w:kern w:val="2"/>
          <w:lang w:val="es-CO" w:eastAsia="es-CO"/>
          <w14:ligatures w14:val="standardContextual"/>
        </w:rPr>
      </w:pPr>
      <w:r>
        <w:rPr>
          <w:b/>
          <w:bCs/>
          <w:sz w:val="22"/>
          <w:szCs w:val="22"/>
        </w:rPr>
        <w:lastRenderedPageBreak/>
        <w:t>- Asesorías para la prevención y detección temprana de factores de riesgo psicosocial y en salud:</w:t>
      </w:r>
      <w:r>
        <w:rPr>
          <w:sz w:val="22"/>
          <w:szCs w:val="22"/>
        </w:rPr>
        <w:t xml:space="preserve"> Comprenden asesorías individuales desarrolladas por profesionales de enfermería y psicología, orientadas a fortalecer prácticas de autocuidado, identificar factores de riesgo en salud física y mental, promover el manejo emocional y facilitar el acceso oportuno a servicios de salud y protección social.</w:t>
      </w:r>
    </w:p>
    <w:p w14:paraId="42D1F7F3" w14:textId="77777777" w:rsidR="00E16580" w:rsidRPr="00E16580" w:rsidRDefault="00E16580" w:rsidP="00E16580">
      <w:pPr>
        <w:spacing w:before="100" w:beforeAutospacing="1" w:after="100" w:afterAutospacing="1" w:line="240" w:lineRule="auto"/>
        <w:jc w:val="both"/>
        <w:rPr>
          <w:rFonts w:eastAsia="Times New Roman" w:cstheme="minorHAnsi"/>
          <w:sz w:val="22"/>
          <w:szCs w:val="22"/>
          <w:lang w:val="es-CO" w:eastAsia="es-CO"/>
        </w:rPr>
      </w:pPr>
      <w:r w:rsidRPr="00E16580">
        <w:rPr>
          <w:rFonts w:eastAsia="Times New Roman" w:cstheme="minorHAnsi"/>
          <w:sz w:val="22"/>
          <w:szCs w:val="22"/>
          <w:lang w:val="es-CO" w:eastAsia="es-CO"/>
        </w:rPr>
        <w:t>Estas acciones buscan contribuir al bienestar integral de las personas vinculadas a actividades sexuales pagadas mediante procesos de orientación, educación y canalización efectiva.</w:t>
      </w:r>
    </w:p>
    <w:p w14:paraId="422F01B3" w14:textId="77777777" w:rsidR="00EF62FC" w:rsidRDefault="00EF62FC">
      <w:pPr>
        <w:spacing w:line="240" w:lineRule="auto"/>
        <w:jc w:val="both"/>
        <w:rPr>
          <w:kern w:val="2"/>
          <w:lang w:val="es-CO" w:eastAsia="es-CO"/>
          <w14:ligatures w14:val="standardContextual"/>
        </w:rPr>
      </w:pPr>
      <w:r>
        <w:rPr>
          <w:b/>
          <w:bCs/>
          <w:sz w:val="22"/>
          <w:szCs w:val="22"/>
        </w:rPr>
        <w:t>- Tamizajes para la prevención y detección temprana de infecciones de transmisión sexual:</w:t>
      </w:r>
      <w:r>
        <w:rPr>
          <w:sz w:val="22"/>
          <w:szCs w:val="22"/>
        </w:rPr>
        <w:t xml:space="preserve"> Incluyen la aplicación de tamizajes para la identificación temprana de infecciones de transmisión sexual, particularmente VIH, sífilis y hepatitis B, en el marco de estrategias integrales de prevención, educación y diagnóstico oportuno.</w:t>
      </w:r>
    </w:p>
    <w:p w14:paraId="76A34163" w14:textId="77777777" w:rsidR="00E16580" w:rsidRPr="00E16580" w:rsidRDefault="00E16580" w:rsidP="00E16580">
      <w:pPr>
        <w:spacing w:before="100" w:beforeAutospacing="1" w:after="100" w:afterAutospacing="1" w:line="240" w:lineRule="auto"/>
        <w:jc w:val="both"/>
        <w:rPr>
          <w:rFonts w:eastAsia="Times New Roman" w:cstheme="minorHAnsi"/>
          <w:sz w:val="22"/>
          <w:szCs w:val="22"/>
          <w:lang w:val="es-CO" w:eastAsia="es-CO"/>
        </w:rPr>
      </w:pPr>
      <w:r w:rsidRPr="00E16580">
        <w:rPr>
          <w:rFonts w:eastAsia="Times New Roman" w:cstheme="minorHAnsi"/>
          <w:sz w:val="22"/>
          <w:szCs w:val="22"/>
          <w:lang w:val="es-CO" w:eastAsia="es-CO"/>
        </w:rPr>
        <w:t>Estas acciones favorecen la accesibilidad a servicios de salud sexual y reproductiva, fortalecen la participación comunitaria y permiten activar rutas institucionales para atención y tratamiento oportuno.</w:t>
      </w:r>
    </w:p>
    <w:p w14:paraId="087B3AF5" w14:textId="77777777" w:rsidR="00EF62FC" w:rsidRDefault="00EF62FC">
      <w:pPr>
        <w:spacing w:line="240" w:lineRule="auto"/>
        <w:jc w:val="both"/>
        <w:rPr>
          <w:kern w:val="2"/>
          <w:lang w:val="es-CO" w:eastAsia="es-CO"/>
          <w14:ligatures w14:val="standardContextual"/>
        </w:rPr>
      </w:pPr>
      <w:r>
        <w:rPr>
          <w:b/>
          <w:bCs/>
          <w:sz w:val="22"/>
          <w:szCs w:val="22"/>
        </w:rPr>
        <w:t>- Acciones de acompañamiento para la efectividad de las canalizaciones y activación de rutas integrales de atención en salud:</w:t>
      </w:r>
      <w:r>
        <w:rPr>
          <w:sz w:val="22"/>
          <w:szCs w:val="22"/>
        </w:rPr>
        <w:t xml:space="preserve"> El acompañamiento a las personas canalizadas constituye un componente fundamental de la gestión integral en salud y bienestar, en tanto busca garantizar el acceso efectivo y la permanencia en los servicios requeridos.</w:t>
      </w:r>
    </w:p>
    <w:p w14:paraId="3E7F2B49" w14:textId="77777777" w:rsidR="00E16580" w:rsidRPr="00E16580" w:rsidRDefault="00E16580" w:rsidP="00E16580">
      <w:pPr>
        <w:spacing w:before="100" w:beforeAutospacing="1" w:after="100" w:afterAutospacing="1" w:line="240" w:lineRule="auto"/>
        <w:jc w:val="both"/>
        <w:rPr>
          <w:rFonts w:eastAsia="Times New Roman" w:cstheme="minorHAnsi"/>
          <w:sz w:val="22"/>
          <w:szCs w:val="22"/>
          <w:lang w:val="es-CO" w:eastAsia="es-CO"/>
        </w:rPr>
      </w:pPr>
      <w:r w:rsidRPr="00E16580">
        <w:rPr>
          <w:rFonts w:eastAsia="Times New Roman" w:cstheme="minorHAnsi"/>
          <w:sz w:val="22"/>
          <w:szCs w:val="22"/>
          <w:lang w:val="es-CO" w:eastAsia="es-CO"/>
        </w:rPr>
        <w:t>En el caso de la población ASP, esta acción adquiere especial relevancia debido a las barreras estructurales, sociales y culturales que históricamente han limitado el ejercicio efectivo del derecho a la salud y la protección social. Por ello, se desarrollan acciones de seguimiento, orientación y acompañamiento institucional que facilitan la adherencia a las rutas de atención y el acceso oportuno a servicios sociales y sanitarios.</w:t>
      </w:r>
    </w:p>
    <w:p w14:paraId="15CFAD76" w14:textId="77777777" w:rsidR="00EF62FC" w:rsidRDefault="00EF62FC">
      <w:pPr>
        <w:spacing w:line="240" w:lineRule="auto"/>
        <w:jc w:val="both"/>
        <w:rPr>
          <w:kern w:val="2"/>
          <w:lang w:val="es-CO" w:eastAsia="es-CO"/>
          <w14:ligatures w14:val="standardContextual"/>
        </w:rPr>
      </w:pPr>
      <w:r>
        <w:rPr>
          <w:sz w:val="22"/>
          <w:szCs w:val="22"/>
        </w:rPr>
        <w:t>La frecuencia en el desarrollo de estas actividades es permanente y estas son ejecutadas por equipos operativos interdisciplinarios conformados por auxiliar de enfermería, profesional de enfermería, trabajador(a) social y psicólogo(a), adscritos a las Subredes Integradas de Servicios de Salud. La planeación y distribución territorial de las actividades se realiza conforme a las dinámicas locales, los establecimientos identificados en las diferentes localidades y los procesos de búsqueda activa desarrollados en territorio.</w:t>
      </w:r>
    </w:p>
    <w:p w14:paraId="05472035" w14:textId="77777777" w:rsidR="00EF62FC" w:rsidRDefault="00EF62FC">
      <w:pPr>
        <w:jc w:val="both"/>
        <w:rPr>
          <w:kern w:val="2"/>
          <w:lang w:val="es-CO" w:eastAsia="es-CO"/>
          <w14:ligatures w14:val="standardContextual"/>
        </w:rPr>
      </w:pPr>
      <w:r>
        <w:rPr>
          <w:sz w:val="22"/>
          <w:szCs w:val="22"/>
        </w:rPr>
        <w:t>En lo que se refiere a coberturas de población beneficiada con estos servicios, informamos que durante el año 2025 se beneficiaron 7020 personas y, en lo corrido de 2026, se han beneficiado 4902. El detalle del número de personas beneficiadas por localidad se muestra en la siguiente tabla:</w:t>
      </w:r>
    </w:p>
    <w:p w14:paraId="7B867F17" w14:textId="77777777" w:rsidR="00EF62FC" w:rsidRDefault="00EF62FC">
      <w:pPr>
        <w:jc w:val="both"/>
        <w:rPr>
          <w:kern w:val="2"/>
          <w:lang w:val="es-CO" w:eastAsia="es-CO"/>
          <w14:ligatures w14:val="standardContextual"/>
        </w:rPr>
      </w:pPr>
      <w:r>
        <w:rPr>
          <w:b/>
          <w:bCs/>
          <w:sz w:val="22"/>
          <w:szCs w:val="22"/>
        </w:rPr>
        <w:t>Tabla X. Número de personas de actividades sexuales pagadas beneficiadas por localidad con intervenciones de salud pública colectiva desarrolladas en el entorno laboral. Bogotá, años 2025 y 2026</w:t>
      </w:r>
    </w:p>
    <w:tbl>
      <w:tblPr>
        <w:tblW w:w="7225" w:type="dxa"/>
        <w:jc w:val="center"/>
        <w:tblCellMar>
          <w:left w:w="0" w:type="dxa"/>
          <w:right w:w="0" w:type="dxa"/>
        </w:tblCellMar>
        <w:tblLook w:val="04A0" w:firstRow="1" w:lastRow="0" w:firstColumn="1" w:lastColumn="0" w:noHBand="0" w:noVBand="1"/>
      </w:tblPr>
      <w:tblGrid>
        <w:gridCol w:w="1972"/>
        <w:gridCol w:w="1709"/>
        <w:gridCol w:w="1701"/>
        <w:gridCol w:w="1843"/>
      </w:tblGrid>
      <w:tr w:rsidR="00210C79" w:rsidRPr="00210C79" w14:paraId="144B00E7" w14:textId="77777777" w:rsidTr="00210C79">
        <w:trPr>
          <w:trHeight w:val="433"/>
          <w:jc w:val="center"/>
        </w:trPr>
        <w:tc>
          <w:tcPr>
            <w:tcW w:w="1972" w:type="dxa"/>
            <w:tcBorders>
              <w:top w:val="single" w:sz="4" w:space="0" w:color="auto"/>
              <w:left w:val="single" w:sz="4" w:space="0" w:color="auto"/>
              <w:bottom w:val="single" w:sz="4" w:space="0" w:color="auto"/>
              <w:right w:val="single" w:sz="4" w:space="0" w:color="auto"/>
            </w:tcBorders>
            <w:shd w:val="clear" w:color="auto" w:fill="C0E6F5"/>
            <w:noWrap/>
            <w:tcMar>
              <w:top w:w="15" w:type="dxa"/>
              <w:left w:w="15" w:type="dxa"/>
              <w:bottom w:w="0" w:type="dxa"/>
              <w:right w:w="15" w:type="dxa"/>
            </w:tcMar>
            <w:vAlign w:val="bottom"/>
            <w:hideMark/>
          </w:tcPr>
          <w:p w14:paraId="18C02F78" w14:textId="55410781"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b/>
                <w:bCs/>
                <w:sz w:val="22"/>
                <w:szCs w:val="22"/>
                <w:lang w:val="es-CO" w:eastAsia="es-CO"/>
              </w:rPr>
              <w:t>Localidad</w:t>
            </w:r>
          </w:p>
        </w:tc>
        <w:tc>
          <w:tcPr>
            <w:tcW w:w="1709" w:type="dxa"/>
            <w:tcBorders>
              <w:top w:val="single" w:sz="4" w:space="0" w:color="auto"/>
              <w:bottom w:val="single" w:sz="4" w:space="0" w:color="auto"/>
              <w:right w:val="single" w:sz="4" w:space="0" w:color="auto"/>
            </w:tcBorders>
            <w:shd w:val="clear" w:color="auto" w:fill="C0E6F5"/>
            <w:noWrap/>
            <w:tcMar>
              <w:top w:w="15" w:type="dxa"/>
              <w:left w:w="15" w:type="dxa"/>
              <w:bottom w:w="0" w:type="dxa"/>
              <w:right w:w="15" w:type="dxa"/>
            </w:tcMar>
            <w:vAlign w:val="bottom"/>
            <w:hideMark/>
          </w:tcPr>
          <w:p w14:paraId="1FE9C61E"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b/>
                <w:bCs/>
                <w:sz w:val="22"/>
                <w:szCs w:val="22"/>
                <w:lang w:val="es-CO" w:eastAsia="es-CO"/>
              </w:rPr>
              <w:t>2025</w:t>
            </w:r>
          </w:p>
        </w:tc>
        <w:tc>
          <w:tcPr>
            <w:tcW w:w="1701" w:type="dxa"/>
            <w:tcBorders>
              <w:top w:val="single" w:sz="4" w:space="0" w:color="auto"/>
              <w:bottom w:val="single" w:sz="4" w:space="0" w:color="auto"/>
              <w:right w:val="single" w:sz="4" w:space="0" w:color="auto"/>
            </w:tcBorders>
            <w:shd w:val="clear" w:color="auto" w:fill="C0E6F5"/>
            <w:noWrap/>
            <w:tcMar>
              <w:top w:w="15" w:type="dxa"/>
              <w:left w:w="15" w:type="dxa"/>
              <w:bottom w:w="0" w:type="dxa"/>
              <w:right w:w="15" w:type="dxa"/>
            </w:tcMar>
            <w:vAlign w:val="bottom"/>
            <w:hideMark/>
          </w:tcPr>
          <w:p w14:paraId="6662373A" w14:textId="3B3FD923"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b/>
                <w:bCs/>
                <w:sz w:val="22"/>
                <w:szCs w:val="22"/>
                <w:lang w:val="es-CO" w:eastAsia="es-CO"/>
              </w:rPr>
              <w:t>2026</w:t>
            </w:r>
            <w:r>
              <w:rPr>
                <w:rFonts w:ascii="Arial" w:eastAsia="Times New Roman" w:hAnsi="Arial" w:cs="Arial"/>
                <w:b/>
                <w:bCs/>
                <w:sz w:val="22"/>
                <w:szCs w:val="22"/>
                <w:lang w:val="es-CO" w:eastAsia="es-CO"/>
              </w:rPr>
              <w:t>*</w:t>
            </w:r>
          </w:p>
        </w:tc>
        <w:tc>
          <w:tcPr>
            <w:tcW w:w="1843" w:type="dxa"/>
            <w:tcBorders>
              <w:top w:val="single" w:sz="4" w:space="0" w:color="auto"/>
              <w:bottom w:val="single" w:sz="4" w:space="0" w:color="auto"/>
              <w:right w:val="single" w:sz="4" w:space="0" w:color="auto"/>
            </w:tcBorders>
            <w:shd w:val="clear" w:color="auto" w:fill="C0E6F5"/>
            <w:noWrap/>
            <w:tcMar>
              <w:top w:w="15" w:type="dxa"/>
              <w:left w:w="15" w:type="dxa"/>
              <w:bottom w:w="0" w:type="dxa"/>
              <w:right w:w="15" w:type="dxa"/>
            </w:tcMar>
            <w:vAlign w:val="bottom"/>
            <w:hideMark/>
          </w:tcPr>
          <w:p w14:paraId="60ED8D1A" w14:textId="41B3517A"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b/>
                <w:bCs/>
                <w:sz w:val="22"/>
                <w:szCs w:val="22"/>
                <w:lang w:val="es-CO" w:eastAsia="es-CO"/>
              </w:rPr>
              <w:t>Total, general</w:t>
            </w:r>
          </w:p>
        </w:tc>
      </w:tr>
      <w:tr w:rsidR="00210C79" w:rsidRPr="00210C79" w14:paraId="05A77AD5"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C6E6B52"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Antonio Nariño</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5317F49E"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25</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59102458" w14:textId="7A917C1A" w:rsidR="00210C79" w:rsidRPr="00210C79" w:rsidRDefault="00EF62FC" w:rsidP="00210C79">
            <w:pPr>
              <w:jc w:val="center"/>
              <w:rPr>
                <w:rFonts w:ascii="Arial" w:eastAsia="Times New Roman" w:hAnsi="Arial" w:cs="Arial"/>
                <w:sz w:val="22"/>
                <w:szCs w:val="22"/>
                <w:lang w:val="es-CO" w:eastAsia="es-CO"/>
              </w:rPr>
            </w:pPr>
            <w:r>
              <w:rPr>
                <w:rFonts w:ascii="Arial" w:eastAsia="Times New Roman" w:hAnsi="Arial" w:cs="Arial"/>
                <w:sz w:val="22"/>
                <w:szCs w:val="22"/>
                <w:lang w:val="es-CO" w:eastAsia="es-CO"/>
              </w:rPr>
              <w:t>0</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5B4F20BB"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25</w:t>
            </w:r>
          </w:p>
        </w:tc>
      </w:tr>
      <w:tr w:rsidR="00210C79" w:rsidRPr="00210C79" w14:paraId="0F79677D"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51FE924"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Barrios Unidos</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343FC08D"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474</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0CCABD17"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255</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58C4C2FE"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729</w:t>
            </w:r>
          </w:p>
        </w:tc>
      </w:tr>
      <w:tr w:rsidR="00210C79" w:rsidRPr="00210C79" w14:paraId="78F2B2A4"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F83D863"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Bosa</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40112DB9"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422</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6E13F14A"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122</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0E1C90FB"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544</w:t>
            </w:r>
          </w:p>
        </w:tc>
      </w:tr>
      <w:tr w:rsidR="00210C79" w:rsidRPr="00210C79" w14:paraId="0651E728"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1BC2608"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lastRenderedPageBreak/>
              <w:t>Candelaria</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7A0BBC79" w14:textId="6A8BC945" w:rsidR="00210C79" w:rsidRPr="00210C79" w:rsidRDefault="00210C79" w:rsidP="00210C79">
            <w:pPr>
              <w:jc w:val="center"/>
              <w:rPr>
                <w:rFonts w:ascii="Arial" w:eastAsia="Times New Roman" w:hAnsi="Arial" w:cs="Arial"/>
                <w:sz w:val="22"/>
                <w:szCs w:val="22"/>
                <w:lang w:val="es-CO" w:eastAsia="es-CO"/>
              </w:rPr>
            </w:pP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2F4A574F"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35</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52043429"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35</w:t>
            </w:r>
          </w:p>
        </w:tc>
      </w:tr>
      <w:tr w:rsidR="00210C79" w:rsidRPr="00210C79" w14:paraId="610663FE"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F1DB058"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Chapinero</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0102C609"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222</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6274053C"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386</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17F9B0F5"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608</w:t>
            </w:r>
          </w:p>
        </w:tc>
      </w:tr>
      <w:tr w:rsidR="00210C79" w:rsidRPr="00210C79" w14:paraId="00053DFF"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D3701EE"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Ciudad Bolívar</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5251EE90"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588</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2C39E1C1"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397</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439681FA"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985</w:t>
            </w:r>
          </w:p>
        </w:tc>
      </w:tr>
      <w:tr w:rsidR="00210C79" w:rsidRPr="00210C79" w14:paraId="7987B5B5"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42821DF"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Engativá</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72A857BA"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369</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3F3A81F7"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125</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4298C343"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494</w:t>
            </w:r>
          </w:p>
        </w:tc>
      </w:tr>
      <w:tr w:rsidR="00210C79" w:rsidRPr="00210C79" w14:paraId="52E1429F"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652CED2"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Fontibón</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11D5480D"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317</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3E39D491"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91</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4B9CA135"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408</w:t>
            </w:r>
          </w:p>
        </w:tc>
      </w:tr>
      <w:tr w:rsidR="00210C79" w:rsidRPr="00210C79" w14:paraId="7C043F0D"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6C5BBD5"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Kennedy</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0AC3ADB4"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926</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0FEB8545"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754</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5964685B"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1680</w:t>
            </w:r>
          </w:p>
        </w:tc>
      </w:tr>
      <w:tr w:rsidR="00210C79" w:rsidRPr="00210C79" w14:paraId="7B14433B"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9F3C750"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Los Mártires</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28322FFD"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1309</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2867D447"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974</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324779B1"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2283</w:t>
            </w:r>
          </w:p>
        </w:tc>
      </w:tr>
      <w:tr w:rsidR="00210C79" w:rsidRPr="00210C79" w14:paraId="2C0110E6"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36416A8"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Puente Aranda</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41C61E59"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146</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688704B6"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204</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1ECCA5CB"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350</w:t>
            </w:r>
          </w:p>
        </w:tc>
      </w:tr>
      <w:tr w:rsidR="00210C79" w:rsidRPr="00210C79" w14:paraId="6D982FEE"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FF20B37"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 xml:space="preserve">Rafael Uribe </w:t>
            </w:r>
            <w:proofErr w:type="spellStart"/>
            <w:r w:rsidRPr="00210C79">
              <w:rPr>
                <w:rFonts w:ascii="Arial" w:eastAsia="Times New Roman" w:hAnsi="Arial" w:cs="Arial"/>
                <w:sz w:val="22"/>
                <w:szCs w:val="22"/>
                <w:lang w:val="es-CO" w:eastAsia="es-CO"/>
              </w:rPr>
              <w:t>Uribe</w:t>
            </w:r>
            <w:proofErr w:type="spellEnd"/>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43A517A5"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187</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2F88E68A"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258</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32010E8E"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445</w:t>
            </w:r>
          </w:p>
        </w:tc>
      </w:tr>
      <w:tr w:rsidR="00210C79" w:rsidRPr="00210C79" w14:paraId="372A46F9"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273AF35"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San Cristóbal</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2B152D8A"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10</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6680E432" w14:textId="14AB572A" w:rsidR="00210C79" w:rsidRPr="00210C79" w:rsidRDefault="00EF62FC" w:rsidP="00210C79">
            <w:pPr>
              <w:jc w:val="center"/>
              <w:rPr>
                <w:rFonts w:ascii="Arial" w:eastAsia="Times New Roman" w:hAnsi="Arial" w:cs="Arial"/>
                <w:sz w:val="22"/>
                <w:szCs w:val="22"/>
                <w:lang w:val="es-CO" w:eastAsia="es-CO"/>
              </w:rPr>
            </w:pPr>
            <w:r>
              <w:rPr>
                <w:rFonts w:ascii="Arial" w:eastAsia="Times New Roman" w:hAnsi="Arial" w:cs="Arial"/>
                <w:sz w:val="22"/>
                <w:szCs w:val="22"/>
                <w:lang w:val="es-CO" w:eastAsia="es-CO"/>
              </w:rPr>
              <w:t>0</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79BF3391"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10</w:t>
            </w:r>
          </w:p>
        </w:tc>
      </w:tr>
      <w:tr w:rsidR="00210C79" w:rsidRPr="00210C79" w14:paraId="7E219F17"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BF19DB0"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Santa fe</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2F3B63F9"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296</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147704D4"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95</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3500E36D"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391</w:t>
            </w:r>
          </w:p>
        </w:tc>
      </w:tr>
      <w:tr w:rsidR="00210C79" w:rsidRPr="00210C79" w14:paraId="1FFE17C1"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AE13508"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Suba</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5CBC6186"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251</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41F647FE"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121</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2034ADD9"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372</w:t>
            </w:r>
          </w:p>
        </w:tc>
      </w:tr>
      <w:tr w:rsidR="00210C79" w:rsidRPr="00210C79" w14:paraId="239AE2FD"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1E20A3F"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Teusaquillo</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07B00981"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218</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07693BA9"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166</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6B2272CC"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384</w:t>
            </w:r>
          </w:p>
        </w:tc>
      </w:tr>
      <w:tr w:rsidR="00210C79" w:rsidRPr="00210C79" w14:paraId="6321ABEE"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802C686"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Tunjuelito</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6D86C883"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908</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66C72E84"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582</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02507192"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1490</w:t>
            </w:r>
          </w:p>
        </w:tc>
      </w:tr>
      <w:tr w:rsidR="00210C79" w:rsidRPr="00210C79" w14:paraId="65E3AE31"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DCDA4A7"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Usaquén</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75326751"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262</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29B287A9"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165</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410B3456"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427</w:t>
            </w:r>
          </w:p>
        </w:tc>
      </w:tr>
      <w:tr w:rsidR="00210C79" w:rsidRPr="00210C79" w14:paraId="2A913E13" w14:textId="77777777" w:rsidTr="00210C79">
        <w:trPr>
          <w:trHeight w:val="196"/>
          <w:jc w:val="center"/>
        </w:trPr>
        <w:tc>
          <w:tcPr>
            <w:tcW w:w="1972" w:type="dxa"/>
            <w:tcBorders>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A9E7DAB"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Usme</w:t>
            </w:r>
          </w:p>
        </w:tc>
        <w:tc>
          <w:tcPr>
            <w:tcW w:w="1709" w:type="dxa"/>
            <w:tcBorders>
              <w:bottom w:val="single" w:sz="4" w:space="0" w:color="auto"/>
              <w:right w:val="single" w:sz="4" w:space="0" w:color="auto"/>
            </w:tcBorders>
            <w:noWrap/>
            <w:tcMar>
              <w:top w:w="15" w:type="dxa"/>
              <w:left w:w="15" w:type="dxa"/>
              <w:bottom w:w="0" w:type="dxa"/>
              <w:right w:w="15" w:type="dxa"/>
            </w:tcMar>
            <w:vAlign w:val="bottom"/>
            <w:hideMark/>
          </w:tcPr>
          <w:p w14:paraId="5D47EA3A"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90</w:t>
            </w:r>
          </w:p>
        </w:tc>
        <w:tc>
          <w:tcPr>
            <w:tcW w:w="1701" w:type="dxa"/>
            <w:tcBorders>
              <w:bottom w:val="single" w:sz="4" w:space="0" w:color="auto"/>
              <w:right w:val="single" w:sz="4" w:space="0" w:color="auto"/>
            </w:tcBorders>
            <w:noWrap/>
            <w:tcMar>
              <w:top w:w="15" w:type="dxa"/>
              <w:left w:w="15" w:type="dxa"/>
              <w:bottom w:w="0" w:type="dxa"/>
              <w:right w:w="15" w:type="dxa"/>
            </w:tcMar>
            <w:vAlign w:val="bottom"/>
            <w:hideMark/>
          </w:tcPr>
          <w:p w14:paraId="2AF19C7F"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172</w:t>
            </w:r>
          </w:p>
        </w:tc>
        <w:tc>
          <w:tcPr>
            <w:tcW w:w="1843" w:type="dxa"/>
            <w:tcBorders>
              <w:bottom w:val="single" w:sz="4" w:space="0" w:color="auto"/>
              <w:right w:val="single" w:sz="4" w:space="0" w:color="auto"/>
            </w:tcBorders>
            <w:noWrap/>
            <w:tcMar>
              <w:top w:w="15" w:type="dxa"/>
              <w:left w:w="15" w:type="dxa"/>
              <w:bottom w:w="0" w:type="dxa"/>
              <w:right w:w="15" w:type="dxa"/>
            </w:tcMar>
            <w:vAlign w:val="bottom"/>
            <w:hideMark/>
          </w:tcPr>
          <w:p w14:paraId="120D7D6B"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sz w:val="22"/>
                <w:szCs w:val="22"/>
                <w:lang w:val="es-CO" w:eastAsia="es-CO"/>
              </w:rPr>
              <w:t>262</w:t>
            </w:r>
          </w:p>
        </w:tc>
      </w:tr>
      <w:tr w:rsidR="00210C79" w:rsidRPr="00210C79" w14:paraId="2C792387" w14:textId="77777777" w:rsidTr="00210C79">
        <w:trPr>
          <w:trHeight w:val="196"/>
          <w:jc w:val="center"/>
        </w:trPr>
        <w:tc>
          <w:tcPr>
            <w:tcW w:w="1972" w:type="dxa"/>
            <w:tcBorders>
              <w:left w:val="single" w:sz="4" w:space="0" w:color="auto"/>
              <w:bottom w:val="single" w:sz="4" w:space="0" w:color="auto"/>
              <w:right w:val="single" w:sz="4" w:space="0" w:color="auto"/>
            </w:tcBorders>
            <w:shd w:val="clear" w:color="auto" w:fill="C0E6F5"/>
            <w:noWrap/>
            <w:tcMar>
              <w:top w:w="15" w:type="dxa"/>
              <w:left w:w="15" w:type="dxa"/>
              <w:bottom w:w="0" w:type="dxa"/>
              <w:right w:w="15" w:type="dxa"/>
            </w:tcMar>
            <w:vAlign w:val="bottom"/>
            <w:hideMark/>
          </w:tcPr>
          <w:p w14:paraId="21072E54" w14:textId="77777777" w:rsidR="00210C79" w:rsidRPr="00210C79" w:rsidRDefault="00210C79" w:rsidP="00210C79">
            <w:pPr>
              <w:jc w:val="both"/>
              <w:rPr>
                <w:rFonts w:ascii="Arial" w:eastAsia="Times New Roman" w:hAnsi="Arial" w:cs="Arial"/>
                <w:sz w:val="22"/>
                <w:szCs w:val="22"/>
                <w:lang w:val="es-CO" w:eastAsia="es-CO"/>
              </w:rPr>
            </w:pPr>
            <w:r w:rsidRPr="00210C79">
              <w:rPr>
                <w:rFonts w:ascii="Arial" w:eastAsia="Times New Roman" w:hAnsi="Arial" w:cs="Arial"/>
                <w:b/>
                <w:bCs/>
                <w:sz w:val="22"/>
                <w:szCs w:val="22"/>
                <w:lang w:val="es-CO" w:eastAsia="es-CO"/>
              </w:rPr>
              <w:t>Total general</w:t>
            </w:r>
          </w:p>
        </w:tc>
        <w:tc>
          <w:tcPr>
            <w:tcW w:w="1709" w:type="dxa"/>
            <w:tcBorders>
              <w:bottom w:val="single" w:sz="4" w:space="0" w:color="auto"/>
              <w:right w:val="single" w:sz="4" w:space="0" w:color="auto"/>
            </w:tcBorders>
            <w:shd w:val="clear" w:color="auto" w:fill="C0E6F5"/>
            <w:noWrap/>
            <w:tcMar>
              <w:top w:w="15" w:type="dxa"/>
              <w:left w:w="15" w:type="dxa"/>
              <w:bottom w:w="0" w:type="dxa"/>
              <w:right w:w="15" w:type="dxa"/>
            </w:tcMar>
            <w:vAlign w:val="bottom"/>
            <w:hideMark/>
          </w:tcPr>
          <w:p w14:paraId="2B8914AC"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b/>
                <w:bCs/>
                <w:sz w:val="22"/>
                <w:szCs w:val="22"/>
                <w:lang w:val="es-CO" w:eastAsia="es-CO"/>
              </w:rPr>
              <w:t>7020</w:t>
            </w:r>
          </w:p>
        </w:tc>
        <w:tc>
          <w:tcPr>
            <w:tcW w:w="1701" w:type="dxa"/>
            <w:tcBorders>
              <w:bottom w:val="single" w:sz="4" w:space="0" w:color="auto"/>
              <w:right w:val="single" w:sz="4" w:space="0" w:color="auto"/>
            </w:tcBorders>
            <w:shd w:val="clear" w:color="auto" w:fill="C0E6F5"/>
            <w:noWrap/>
            <w:tcMar>
              <w:top w:w="15" w:type="dxa"/>
              <w:left w:w="15" w:type="dxa"/>
              <w:bottom w:w="0" w:type="dxa"/>
              <w:right w:w="15" w:type="dxa"/>
            </w:tcMar>
            <w:vAlign w:val="bottom"/>
            <w:hideMark/>
          </w:tcPr>
          <w:p w14:paraId="44EAE140"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b/>
                <w:bCs/>
                <w:sz w:val="22"/>
                <w:szCs w:val="22"/>
                <w:lang w:val="es-CO" w:eastAsia="es-CO"/>
              </w:rPr>
              <w:t>4902</w:t>
            </w:r>
          </w:p>
        </w:tc>
        <w:tc>
          <w:tcPr>
            <w:tcW w:w="1843" w:type="dxa"/>
            <w:tcBorders>
              <w:bottom w:val="single" w:sz="4" w:space="0" w:color="auto"/>
              <w:right w:val="single" w:sz="4" w:space="0" w:color="auto"/>
            </w:tcBorders>
            <w:shd w:val="clear" w:color="auto" w:fill="C0E6F5"/>
            <w:noWrap/>
            <w:tcMar>
              <w:top w:w="15" w:type="dxa"/>
              <w:left w:w="15" w:type="dxa"/>
              <w:bottom w:w="0" w:type="dxa"/>
              <w:right w:w="15" w:type="dxa"/>
            </w:tcMar>
            <w:vAlign w:val="bottom"/>
            <w:hideMark/>
          </w:tcPr>
          <w:p w14:paraId="01D03B21" w14:textId="77777777" w:rsidR="00210C79" w:rsidRPr="00210C79" w:rsidRDefault="00210C79" w:rsidP="00210C79">
            <w:pPr>
              <w:jc w:val="center"/>
              <w:rPr>
                <w:rFonts w:ascii="Arial" w:eastAsia="Times New Roman" w:hAnsi="Arial" w:cs="Arial"/>
                <w:sz w:val="22"/>
                <w:szCs w:val="22"/>
                <w:lang w:val="es-CO" w:eastAsia="es-CO"/>
              </w:rPr>
            </w:pPr>
            <w:r w:rsidRPr="00210C79">
              <w:rPr>
                <w:rFonts w:ascii="Arial" w:eastAsia="Times New Roman" w:hAnsi="Arial" w:cs="Arial"/>
                <w:b/>
                <w:bCs/>
                <w:sz w:val="22"/>
                <w:szCs w:val="22"/>
                <w:lang w:val="es-CO" w:eastAsia="es-CO"/>
              </w:rPr>
              <w:t>11922</w:t>
            </w:r>
          </w:p>
        </w:tc>
      </w:tr>
    </w:tbl>
    <w:p w14:paraId="1F9B2045" w14:textId="77777777" w:rsidR="00EF62FC" w:rsidRPr="00013D76" w:rsidRDefault="00EF62FC" w:rsidP="00013D76">
      <w:pPr>
        <w:spacing w:after="0" w:line="240" w:lineRule="auto"/>
        <w:jc w:val="both"/>
        <w:rPr>
          <w:sz w:val="18"/>
          <w:szCs w:val="18"/>
          <w:lang w:val="es-MX"/>
        </w:rPr>
      </w:pPr>
      <w:r w:rsidRPr="00013D76">
        <w:rPr>
          <w:sz w:val="18"/>
          <w:szCs w:val="18"/>
          <w:lang w:val="es-MX"/>
        </w:rPr>
        <w:t>*Información con corte al 30 de abril de 2026.</w:t>
      </w:r>
    </w:p>
    <w:p w14:paraId="09E9E3B0" w14:textId="2B43710F" w:rsidR="00013D76" w:rsidRDefault="00013D76" w:rsidP="00013D76">
      <w:pPr>
        <w:spacing w:after="0" w:line="240" w:lineRule="auto"/>
        <w:jc w:val="both"/>
        <w:rPr>
          <w:sz w:val="18"/>
          <w:szCs w:val="18"/>
          <w:lang w:val="es-MX"/>
        </w:rPr>
      </w:pPr>
      <w:r w:rsidRPr="00013D76">
        <w:rPr>
          <w:sz w:val="18"/>
          <w:szCs w:val="18"/>
          <w:lang w:val="es-MX"/>
        </w:rPr>
        <w:t xml:space="preserve">Fuente: SDS_SAC_GESI. Bases de datos de usuarios intervenidos en el entorno laboral. </w:t>
      </w:r>
    </w:p>
    <w:p w14:paraId="008D7B9D" w14:textId="77777777" w:rsidR="00013D76" w:rsidRPr="00013D76" w:rsidRDefault="00013D76" w:rsidP="00013D76">
      <w:pPr>
        <w:spacing w:after="0" w:line="240" w:lineRule="auto"/>
        <w:jc w:val="both"/>
        <w:rPr>
          <w:kern w:val="2"/>
          <w:sz w:val="18"/>
          <w:szCs w:val="18"/>
          <w:lang w:val="es-CO" w:eastAsia="es-CO"/>
          <w14:ligatures w14:val="standardContextual"/>
        </w:rPr>
      </w:pPr>
    </w:p>
    <w:p w14:paraId="2CA4A6C1" w14:textId="77777777" w:rsidR="00EF62FC" w:rsidRDefault="00EF62FC">
      <w:pPr>
        <w:jc w:val="both"/>
        <w:rPr>
          <w:kern w:val="2"/>
          <w:lang w:val="es-CO" w:eastAsia="es-CO"/>
          <w14:ligatures w14:val="standardContextual"/>
        </w:rPr>
      </w:pPr>
      <w:r>
        <w:rPr>
          <w:sz w:val="22"/>
          <w:szCs w:val="22"/>
          <w:lang w:val="es-MX"/>
        </w:rPr>
        <w:t>Como resultado del desarrollo de estas acciones, la SDS ha logrado identificar oportunamente casos reactivos para infecciones de transmisión sexual, relacionados con VIH, sífilis y hepatitis B; realizar la derivación a servicios de salud, el seguimiento de casos y el desarrollo de actividades promocionales para el mejoramiento de las condiciones de salud de la población.</w:t>
      </w:r>
    </w:p>
    <w:p w14:paraId="6D30F4D6" w14:textId="77777777" w:rsidR="00210C79" w:rsidRDefault="00210C79" w:rsidP="00210C79">
      <w:pPr>
        <w:jc w:val="both"/>
        <w:rPr>
          <w:rFonts w:eastAsia="Arial" w:cstheme="minorHAnsi"/>
          <w:sz w:val="22"/>
          <w:szCs w:val="22"/>
          <w:lang w:val="es-MX"/>
        </w:rPr>
      </w:pPr>
    </w:p>
    <w:p w14:paraId="5EF410B0" w14:textId="77777777" w:rsidR="00B106FA" w:rsidRDefault="00B106FA">
      <w:pPr>
        <w:spacing w:line="240" w:lineRule="auto"/>
        <w:jc w:val="both"/>
        <w:rPr>
          <w:kern w:val="2"/>
          <w:lang w:val="es-CO" w:eastAsia="es-CO"/>
          <w14:ligatures w14:val="standardContextual"/>
        </w:rPr>
      </w:pPr>
      <w:r>
        <w:rPr>
          <w:sz w:val="18"/>
          <w:szCs w:val="18"/>
        </w:rPr>
        <w:t>Elaboró: Erica Ospina - Referente del entorno laboral - Subdirección de Acciones Colectivas.</w:t>
      </w:r>
    </w:p>
    <w:p w14:paraId="571464BF" w14:textId="77777777" w:rsidR="00E13CB6" w:rsidRDefault="00E13CB6">
      <w:pPr>
        <w:spacing w:line="240" w:lineRule="auto"/>
        <w:jc w:val="both"/>
        <w:rPr>
          <w:kern w:val="2"/>
          <w:lang w:val="es-CO" w:eastAsia="es-CO"/>
          <w14:ligatures w14:val="standardContextual"/>
        </w:rPr>
      </w:pPr>
      <w:r>
        <w:rPr>
          <w:sz w:val="18"/>
          <w:szCs w:val="18"/>
        </w:rPr>
        <w:t>Revisó: Juan Patiño - Profesional Especializado - Subdirección de Acciones Colectivas.</w:t>
      </w:r>
    </w:p>
    <w:p w14:paraId="7B3FDE85" w14:textId="77777777" w:rsidR="00E13CB6" w:rsidRDefault="00E13CB6">
      <w:pPr>
        <w:spacing w:line="240" w:lineRule="auto"/>
        <w:jc w:val="both"/>
        <w:rPr>
          <w:kern w:val="2"/>
          <w:lang w:val="es-CO" w:eastAsia="es-CO"/>
          <w14:ligatures w14:val="standardContextual"/>
        </w:rPr>
      </w:pPr>
      <w:r>
        <w:rPr>
          <w:sz w:val="18"/>
          <w:szCs w:val="18"/>
        </w:rPr>
        <w:t>Aprobó: Marcela Martínez - Subdirectora de Acciones Colectivas.</w:t>
      </w:r>
    </w:p>
    <w:p w14:paraId="2D294E81" w14:textId="22BC6884" w:rsidR="00576EFC" w:rsidRPr="00EF62FC" w:rsidRDefault="00576EFC" w:rsidP="00EF62FC"/>
    <w:sectPr w:rsidR="00576EFC" w:rsidRPr="00EF62F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intelligence2.xml><?xml version="1.0" encoding="utf-8"?>
<int2:intelligence xmlns:int2="http://schemas.microsoft.com/office/intelligence/2020/intelligence" xmlns:oel="http://schemas.microsoft.com/office/2019/extlst">
  <int2:observations>
    <int2:bookmark int2:bookmarkName="_Int_XcnmiEJT" int2:invalidationBookmarkName="" int2:hashCode="C6YxzWmIcV7tKV" int2:id="XLLpDU6C">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237"/>
    <w:multiLevelType w:val="multilevel"/>
    <w:tmpl w:val="CFF0E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754F3"/>
    <w:multiLevelType w:val="multilevel"/>
    <w:tmpl w:val="902A3A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54187E"/>
    <w:multiLevelType w:val="multilevel"/>
    <w:tmpl w:val="96CED8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CC4ECA"/>
    <w:multiLevelType w:val="multilevel"/>
    <w:tmpl w:val="B35206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1D23F21"/>
    <w:multiLevelType w:val="multilevel"/>
    <w:tmpl w:val="26C263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5172D22"/>
    <w:multiLevelType w:val="multilevel"/>
    <w:tmpl w:val="405A31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C5E5C25"/>
    <w:multiLevelType w:val="multilevel"/>
    <w:tmpl w:val="8F147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3FA4BCA"/>
    <w:multiLevelType w:val="multilevel"/>
    <w:tmpl w:val="946C82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B760D2"/>
    <w:multiLevelType w:val="hybridMultilevel"/>
    <w:tmpl w:val="6CE4DF0A"/>
    <w:lvl w:ilvl="0" w:tplc="E37EE0EC">
      <w:numFmt w:val="bullet"/>
      <w:lvlText w:val="-"/>
      <w:lvlJc w:val="left"/>
      <w:pPr>
        <w:ind w:left="720" w:hanging="360"/>
      </w:pPr>
      <w:rPr>
        <w:rFonts w:ascii="Calibri" w:eastAsia="Calibri" w:hAnsi="Calibri" w:cs="Calibri" w:hint="default"/>
        <w:color w:val="000000" w:themeColor="text1"/>
        <w:sz w:val="2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3B959F9"/>
    <w:multiLevelType w:val="multilevel"/>
    <w:tmpl w:val="F1E0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8B1FA4"/>
    <w:multiLevelType w:val="multilevel"/>
    <w:tmpl w:val="F8381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3A1D7B"/>
    <w:multiLevelType w:val="multilevel"/>
    <w:tmpl w:val="3A482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7"/>
  </w:num>
  <w:num w:numId="3">
    <w:abstractNumId w:val="0"/>
  </w:num>
  <w:num w:numId="4">
    <w:abstractNumId w:val="11"/>
  </w:num>
  <w:num w:numId="5">
    <w:abstractNumId w:val="10"/>
  </w:num>
  <w:num w:numId="6">
    <w:abstractNumId w:val="5"/>
  </w:num>
  <w:num w:numId="7">
    <w:abstractNumId w:val="4"/>
  </w:num>
  <w:num w:numId="8">
    <w:abstractNumId w:val="1"/>
  </w:num>
  <w:num w:numId="9">
    <w:abstractNumId w:val="2"/>
  </w:num>
  <w:num w:numId="10">
    <w:abstractNumId w:val="3"/>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98693C"/>
    <w:rsid w:val="00013D76"/>
    <w:rsid w:val="00100F9F"/>
    <w:rsid w:val="001053B8"/>
    <w:rsid w:val="00106D72"/>
    <w:rsid w:val="00172D54"/>
    <w:rsid w:val="00210C79"/>
    <w:rsid w:val="00305E42"/>
    <w:rsid w:val="0033758D"/>
    <w:rsid w:val="00400296"/>
    <w:rsid w:val="004C434E"/>
    <w:rsid w:val="00576EFC"/>
    <w:rsid w:val="00741ED0"/>
    <w:rsid w:val="00943A07"/>
    <w:rsid w:val="009F61A1"/>
    <w:rsid w:val="00B106FA"/>
    <w:rsid w:val="00B92AFF"/>
    <w:rsid w:val="00C03472"/>
    <w:rsid w:val="00DE6658"/>
    <w:rsid w:val="00E13CB6"/>
    <w:rsid w:val="00E16580"/>
    <w:rsid w:val="00EF62FC"/>
    <w:rsid w:val="00F848BC"/>
    <w:rsid w:val="00FA6CAA"/>
    <w:rsid w:val="03316D13"/>
    <w:rsid w:val="04968CC5"/>
    <w:rsid w:val="080BAA57"/>
    <w:rsid w:val="0B44E5A0"/>
    <w:rsid w:val="1600B5DF"/>
    <w:rsid w:val="19742113"/>
    <w:rsid w:val="1ADAC9BD"/>
    <w:rsid w:val="1C98693C"/>
    <w:rsid w:val="1EB7763C"/>
    <w:rsid w:val="1EC55C32"/>
    <w:rsid w:val="21369B07"/>
    <w:rsid w:val="220C8F40"/>
    <w:rsid w:val="2459C0FB"/>
    <w:rsid w:val="3644F883"/>
    <w:rsid w:val="375013EA"/>
    <w:rsid w:val="390D61B4"/>
    <w:rsid w:val="3C814DF6"/>
    <w:rsid w:val="4B21C1A4"/>
    <w:rsid w:val="50B18C35"/>
    <w:rsid w:val="588D53ED"/>
    <w:rsid w:val="5CBBFBCB"/>
    <w:rsid w:val="5FC1B357"/>
    <w:rsid w:val="69DE2912"/>
    <w:rsid w:val="6C29CBEF"/>
    <w:rsid w:val="74AD1236"/>
    <w:rsid w:val="7A84303E"/>
    <w:rsid w:val="7E22572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DC6A8"/>
  <w15:chartTrackingRefBased/>
  <w15:docId w15:val="{F2679B68-513A-4505-ABE3-FFF071909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link w:val="Ttulo2Car"/>
    <w:uiPriority w:val="9"/>
    <w:qFormat/>
    <w:rsid w:val="00EF62FC"/>
    <w:pPr>
      <w:spacing w:before="100" w:beforeAutospacing="1" w:after="100" w:afterAutospacing="1" w:line="240" w:lineRule="auto"/>
      <w:outlineLvl w:val="1"/>
    </w:pPr>
    <w:rPr>
      <w:rFonts w:ascii="Times New Roman" w:eastAsiaTheme="minorEastAsia"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DE6658"/>
    <w:pPr>
      <w:ind w:left="720"/>
      <w:contextualSpacing/>
    </w:pPr>
  </w:style>
  <w:style w:type="paragraph" w:styleId="NormalWeb">
    <w:name w:val="Normal (Web)"/>
    <w:basedOn w:val="Normal"/>
    <w:uiPriority w:val="99"/>
    <w:semiHidden/>
    <w:unhideWhenUsed/>
    <w:rsid w:val="00DE6658"/>
    <w:pPr>
      <w:spacing w:before="100" w:beforeAutospacing="1" w:after="100" w:afterAutospacing="1" w:line="240" w:lineRule="auto"/>
    </w:pPr>
    <w:rPr>
      <w:rFonts w:ascii="Times New Roman" w:eastAsia="Times New Roman" w:hAnsi="Times New Roman" w:cs="Times New Roman"/>
      <w:lang w:eastAsia="es-ES"/>
    </w:rPr>
  </w:style>
  <w:style w:type="character" w:customStyle="1" w:styleId="normaltextrun">
    <w:name w:val="normaltextrun"/>
    <w:basedOn w:val="Fuentedeprrafopredeter"/>
    <w:rsid w:val="00DE6658"/>
  </w:style>
  <w:style w:type="paragraph" w:styleId="Textoindependiente">
    <w:name w:val="Body Text"/>
    <w:basedOn w:val="Normal"/>
    <w:link w:val="TextoindependienteCar"/>
    <w:uiPriority w:val="1"/>
    <w:unhideWhenUsed/>
    <w:qFormat/>
    <w:rsid w:val="00DE6658"/>
    <w:pPr>
      <w:widowControl w:val="0"/>
      <w:autoSpaceDE w:val="0"/>
      <w:autoSpaceDN w:val="0"/>
      <w:spacing w:after="0" w:line="240" w:lineRule="auto"/>
    </w:pPr>
    <w:rPr>
      <w:rFonts w:ascii="Arial MT" w:eastAsia="Arial MT" w:hAnsi="Arial MT" w:cs="Arial MT"/>
      <w:sz w:val="22"/>
      <w:szCs w:val="22"/>
    </w:rPr>
  </w:style>
  <w:style w:type="character" w:customStyle="1" w:styleId="TextoindependienteCar">
    <w:name w:val="Texto independiente Car"/>
    <w:basedOn w:val="Fuentedeprrafopredeter"/>
    <w:link w:val="Textoindependiente"/>
    <w:uiPriority w:val="1"/>
    <w:rsid w:val="00DE6658"/>
    <w:rPr>
      <w:rFonts w:ascii="Arial MT" w:eastAsia="Arial MT" w:hAnsi="Arial MT" w:cs="Arial MT"/>
      <w:sz w:val="22"/>
      <w:szCs w:val="22"/>
    </w:rPr>
  </w:style>
  <w:style w:type="paragraph" w:customStyle="1" w:styleId="isselectedend">
    <w:name w:val="isselectedend"/>
    <w:basedOn w:val="Normal"/>
    <w:rsid w:val="00E16580"/>
    <w:pPr>
      <w:spacing w:before="100" w:beforeAutospacing="1" w:after="100" w:afterAutospacing="1" w:line="240" w:lineRule="auto"/>
    </w:pPr>
    <w:rPr>
      <w:rFonts w:ascii="Times New Roman" w:eastAsia="Times New Roman" w:hAnsi="Times New Roman" w:cs="Times New Roman"/>
      <w:lang w:val="es-CO" w:eastAsia="es-CO"/>
    </w:rPr>
  </w:style>
  <w:style w:type="character" w:styleId="Refdecomentario">
    <w:name w:val="annotation reference"/>
    <w:basedOn w:val="Fuentedeprrafopredeter"/>
    <w:uiPriority w:val="99"/>
    <w:semiHidden/>
    <w:unhideWhenUsed/>
    <w:rsid w:val="001053B8"/>
    <w:rPr>
      <w:sz w:val="16"/>
      <w:szCs w:val="16"/>
    </w:rPr>
  </w:style>
  <w:style w:type="paragraph" w:styleId="Textocomentario">
    <w:name w:val="annotation text"/>
    <w:basedOn w:val="Normal"/>
    <w:link w:val="TextocomentarioCar"/>
    <w:uiPriority w:val="99"/>
    <w:unhideWhenUsed/>
    <w:rsid w:val="001053B8"/>
    <w:pPr>
      <w:spacing w:line="240" w:lineRule="auto"/>
    </w:pPr>
    <w:rPr>
      <w:sz w:val="20"/>
      <w:szCs w:val="20"/>
    </w:rPr>
  </w:style>
  <w:style w:type="character" w:customStyle="1" w:styleId="TextocomentarioCar">
    <w:name w:val="Texto comentario Car"/>
    <w:basedOn w:val="Fuentedeprrafopredeter"/>
    <w:link w:val="Textocomentario"/>
    <w:uiPriority w:val="99"/>
    <w:rsid w:val="001053B8"/>
    <w:rPr>
      <w:sz w:val="20"/>
      <w:szCs w:val="20"/>
    </w:rPr>
  </w:style>
  <w:style w:type="paragraph" w:styleId="Asuntodelcomentario">
    <w:name w:val="annotation subject"/>
    <w:basedOn w:val="Textocomentario"/>
    <w:next w:val="Textocomentario"/>
    <w:link w:val="AsuntodelcomentarioCar"/>
    <w:uiPriority w:val="99"/>
    <w:semiHidden/>
    <w:unhideWhenUsed/>
    <w:rsid w:val="001053B8"/>
    <w:rPr>
      <w:b/>
      <w:bCs/>
    </w:rPr>
  </w:style>
  <w:style w:type="character" w:customStyle="1" w:styleId="AsuntodelcomentarioCar">
    <w:name w:val="Asunto del comentario Car"/>
    <w:basedOn w:val="TextocomentarioCar"/>
    <w:link w:val="Asuntodelcomentario"/>
    <w:uiPriority w:val="99"/>
    <w:semiHidden/>
    <w:rsid w:val="001053B8"/>
    <w:rPr>
      <w:b/>
      <w:bCs/>
      <w:sz w:val="20"/>
      <w:szCs w:val="20"/>
    </w:rPr>
  </w:style>
  <w:style w:type="paragraph" w:styleId="Textodeglobo">
    <w:name w:val="Balloon Text"/>
    <w:basedOn w:val="Normal"/>
    <w:link w:val="TextodegloboCar"/>
    <w:uiPriority w:val="99"/>
    <w:semiHidden/>
    <w:unhideWhenUsed/>
    <w:rsid w:val="00106D7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06D72"/>
    <w:rPr>
      <w:rFonts w:ascii="Segoe UI" w:hAnsi="Segoe UI" w:cs="Segoe UI"/>
      <w:sz w:val="18"/>
      <w:szCs w:val="18"/>
    </w:rPr>
  </w:style>
  <w:style w:type="character" w:customStyle="1" w:styleId="Ttulo2Car">
    <w:name w:val="Título 2 Car"/>
    <w:basedOn w:val="Fuentedeprrafopredeter"/>
    <w:link w:val="Ttulo2"/>
    <w:uiPriority w:val="9"/>
    <w:rsid w:val="00EF62FC"/>
    <w:rPr>
      <w:rFonts w:ascii="Times New Roman" w:eastAsiaTheme="minorEastAsia" w:hAnsi="Times New Roman" w:cs="Times New Roman"/>
      <w:b/>
      <w:bCs/>
      <w:sz w:val="36"/>
      <w:szCs w:val="36"/>
      <w:lang w:val="es-CO" w:eastAsia="es-CO"/>
    </w:rPr>
  </w:style>
  <w:style w:type="character" w:styleId="Textoennegrita">
    <w:name w:val="Strong"/>
    <w:basedOn w:val="Fuentedeprrafopredeter"/>
    <w:uiPriority w:val="22"/>
    <w:qFormat/>
    <w:rsid w:val="00EF62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858395">
      <w:bodyDiv w:val="1"/>
      <w:marLeft w:val="0"/>
      <w:marRight w:val="0"/>
      <w:marTop w:val="0"/>
      <w:marBottom w:val="0"/>
      <w:divBdr>
        <w:top w:val="none" w:sz="0" w:space="0" w:color="auto"/>
        <w:left w:val="none" w:sz="0" w:space="0" w:color="auto"/>
        <w:bottom w:val="none" w:sz="0" w:space="0" w:color="auto"/>
        <w:right w:val="none" w:sz="0" w:space="0" w:color="auto"/>
      </w:divBdr>
    </w:div>
    <w:div w:id="612712583">
      <w:bodyDiv w:val="1"/>
      <w:marLeft w:val="0"/>
      <w:marRight w:val="0"/>
      <w:marTop w:val="0"/>
      <w:marBottom w:val="0"/>
      <w:divBdr>
        <w:top w:val="none" w:sz="0" w:space="0" w:color="auto"/>
        <w:left w:val="none" w:sz="0" w:space="0" w:color="auto"/>
        <w:bottom w:val="none" w:sz="0" w:space="0" w:color="auto"/>
        <w:right w:val="none" w:sz="0" w:space="0" w:color="auto"/>
      </w:divBdr>
    </w:div>
    <w:div w:id="827865372">
      <w:bodyDiv w:val="1"/>
      <w:marLeft w:val="0"/>
      <w:marRight w:val="0"/>
      <w:marTop w:val="0"/>
      <w:marBottom w:val="0"/>
      <w:divBdr>
        <w:top w:val="none" w:sz="0" w:space="0" w:color="auto"/>
        <w:left w:val="none" w:sz="0" w:space="0" w:color="auto"/>
        <w:bottom w:val="none" w:sz="0" w:space="0" w:color="auto"/>
        <w:right w:val="none" w:sz="0" w:space="0" w:color="auto"/>
      </w:divBdr>
    </w:div>
    <w:div w:id="1051684255">
      <w:bodyDiv w:val="1"/>
      <w:marLeft w:val="0"/>
      <w:marRight w:val="0"/>
      <w:marTop w:val="0"/>
      <w:marBottom w:val="0"/>
      <w:divBdr>
        <w:top w:val="none" w:sz="0" w:space="0" w:color="auto"/>
        <w:left w:val="none" w:sz="0" w:space="0" w:color="auto"/>
        <w:bottom w:val="none" w:sz="0" w:space="0" w:color="auto"/>
        <w:right w:val="none" w:sz="0" w:space="0" w:color="auto"/>
      </w:divBdr>
    </w:div>
    <w:div w:id="1075323343">
      <w:bodyDiv w:val="1"/>
      <w:marLeft w:val="0"/>
      <w:marRight w:val="0"/>
      <w:marTop w:val="0"/>
      <w:marBottom w:val="0"/>
      <w:divBdr>
        <w:top w:val="none" w:sz="0" w:space="0" w:color="auto"/>
        <w:left w:val="none" w:sz="0" w:space="0" w:color="auto"/>
        <w:bottom w:val="none" w:sz="0" w:space="0" w:color="auto"/>
        <w:right w:val="none" w:sz="0" w:space="0" w:color="auto"/>
      </w:divBdr>
    </w:div>
    <w:div w:id="1185361520">
      <w:bodyDiv w:val="1"/>
      <w:marLeft w:val="0"/>
      <w:marRight w:val="0"/>
      <w:marTop w:val="0"/>
      <w:marBottom w:val="0"/>
      <w:divBdr>
        <w:top w:val="none" w:sz="0" w:space="0" w:color="auto"/>
        <w:left w:val="none" w:sz="0" w:space="0" w:color="auto"/>
        <w:bottom w:val="none" w:sz="0" w:space="0" w:color="auto"/>
        <w:right w:val="none" w:sz="0" w:space="0" w:color="auto"/>
      </w:divBdr>
    </w:div>
    <w:div w:id="1363434332">
      <w:bodyDiv w:val="1"/>
      <w:marLeft w:val="0"/>
      <w:marRight w:val="0"/>
      <w:marTop w:val="0"/>
      <w:marBottom w:val="0"/>
      <w:divBdr>
        <w:top w:val="none" w:sz="0" w:space="0" w:color="auto"/>
        <w:left w:val="none" w:sz="0" w:space="0" w:color="auto"/>
        <w:bottom w:val="none" w:sz="0" w:space="0" w:color="auto"/>
        <w:right w:val="none" w:sz="0" w:space="0" w:color="auto"/>
      </w:divBdr>
    </w:div>
    <w:div w:id="1365784760">
      <w:bodyDiv w:val="1"/>
      <w:marLeft w:val="0"/>
      <w:marRight w:val="0"/>
      <w:marTop w:val="0"/>
      <w:marBottom w:val="0"/>
      <w:divBdr>
        <w:top w:val="none" w:sz="0" w:space="0" w:color="auto"/>
        <w:left w:val="none" w:sz="0" w:space="0" w:color="auto"/>
        <w:bottom w:val="none" w:sz="0" w:space="0" w:color="auto"/>
        <w:right w:val="none" w:sz="0" w:space="0" w:color="auto"/>
      </w:divBdr>
    </w:div>
    <w:div w:id="1902522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FA49C0E-903C-45C2-80FD-F20FDBCC8449}">
  <we:reference id="wa200007708" version="3.0.0.2" store="es-ES" storeType="OMEX"/>
  <we:alternateReferences>
    <we:reference id="wa200007708" version="3.0.0.2"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1E53B662641C24289E3BC0FC531FAF9" ma:contentTypeVersion="20" ma:contentTypeDescription="Crear nuevo documento." ma:contentTypeScope="" ma:versionID="ebc86fa453f4939f7a0e1d3648738bc2">
  <xsd:schema xmlns:xsd="http://www.w3.org/2001/XMLSchema" xmlns:xs="http://www.w3.org/2001/XMLSchema" xmlns:p="http://schemas.microsoft.com/office/2006/metadata/properties" xmlns:ns2="0dcfc175-cffb-489f-a5f5-fa812b665c51" xmlns:ns3="4e613a32-d978-4127-bfcc-dbab85fb6e36" targetNamespace="http://schemas.microsoft.com/office/2006/metadata/properties" ma:root="true" ma:fieldsID="f5736cbf8080b64647acaddc5c5442cc" ns2:_="" ns3:_="">
    <xsd:import namespace="0dcfc175-cffb-489f-a5f5-fa812b665c51"/>
    <xsd:import namespace="4e613a32-d978-4127-bfcc-dbab85fb6e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fc175-cffb-489f-a5f5-fa812b665c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613a32-d978-4127-bfcc-dbab85fb6e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582488f-d407-4c41-8928-07d47a1dcb79}" ma:internalName="TaxCatchAll" ma:showField="CatchAllData" ma:web="4e613a32-d978-4127-bfcc-dbab85fb6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cfc175-cffb-489f-a5f5-fa812b665c51">
      <Terms xmlns="http://schemas.microsoft.com/office/infopath/2007/PartnerControls"/>
    </lcf76f155ced4ddcb4097134ff3c332f>
    <TaxCatchAll xmlns="4e613a32-d978-4127-bfcc-dbab85fb6e36" xsi:nil="true"/>
  </documentManagement>
</p:properties>
</file>

<file path=customXml/itemProps1.xml><?xml version="1.0" encoding="utf-8"?>
<ds:datastoreItem xmlns:ds="http://schemas.openxmlformats.org/officeDocument/2006/customXml" ds:itemID="{424FE608-B15E-467D-A587-61AB0F7FC4CB}"/>
</file>

<file path=customXml/itemProps2.xml><?xml version="1.0" encoding="utf-8"?>
<ds:datastoreItem xmlns:ds="http://schemas.openxmlformats.org/officeDocument/2006/customXml" ds:itemID="{FA12CA7F-18F1-4297-B0F6-834A600FFED2}"/>
</file>

<file path=customXml/itemProps3.xml><?xml version="1.0" encoding="utf-8"?>
<ds:datastoreItem xmlns:ds="http://schemas.openxmlformats.org/officeDocument/2006/customXml" ds:itemID="{5D4082F4-9840-4A6A-B6BA-07A4E2A9DF77}"/>
</file>

<file path=docProps/app.xml><?xml version="1.0" encoding="utf-8"?>
<Properties xmlns="http://schemas.openxmlformats.org/officeDocument/2006/extended-properties" xmlns:vt="http://schemas.openxmlformats.org/officeDocument/2006/docPropsVTypes">
  <Template>Normal</Template>
  <TotalTime>1</TotalTime>
  <Pages>4</Pages>
  <Words>1500</Words>
  <Characters>8255</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Erica Licet, Ospina Ortíz</dc:creator>
  <cp:keywords/>
  <dc:description/>
  <cp:lastModifiedBy>Marcela, Martinez Contreras</cp:lastModifiedBy>
  <cp:revision>2</cp:revision>
  <dcterms:created xsi:type="dcterms:W3CDTF">2026-05-22T00:32:00Z</dcterms:created>
  <dcterms:modified xsi:type="dcterms:W3CDTF">2026-05-22T00:32:00Z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0x010100E1E53B662641C24289E3BC0FC531FAF9</vt:lpwstr>
  </property>
</Properties>
</file>